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75088" w:rsidRPr="00375088" w:rsidTr="00375088">
        <w:trPr>
          <w:tblCellSpacing w:w="0" w:type="dxa"/>
        </w:trPr>
        <w:tc>
          <w:tcPr>
            <w:tcW w:w="3348" w:type="dxa"/>
            <w:tcMar>
              <w:top w:w="0" w:type="dxa"/>
              <w:left w:w="108" w:type="dxa"/>
              <w:bottom w:w="0" w:type="dxa"/>
              <w:right w:w="108" w:type="dxa"/>
            </w:tcMar>
            <w:hideMark/>
          </w:tcPr>
          <w:p w:rsidR="00375088" w:rsidRPr="00375088" w:rsidRDefault="00375088" w:rsidP="00375088">
            <w:pPr>
              <w:spacing w:before="120" w:after="0" w:line="234" w:lineRule="atLeast"/>
              <w:jc w:val="center"/>
              <w:rPr>
                <w:rFonts w:eastAsia="Times New Roman"/>
                <w:szCs w:val="24"/>
              </w:rPr>
            </w:pPr>
            <w:r w:rsidRPr="00375088">
              <w:rPr>
                <w:rFonts w:eastAsia="Times New Roman"/>
                <w:b/>
                <w:bCs/>
                <w:szCs w:val="24"/>
              </w:rPr>
              <w:t>CHÍNH PHỦ</w:t>
            </w:r>
            <w:r w:rsidRPr="00375088">
              <w:rPr>
                <w:rFonts w:eastAsia="Times New Roman"/>
                <w:b/>
                <w:bCs/>
                <w:szCs w:val="24"/>
              </w:rPr>
              <w:br/>
              <w:t>-------</w:t>
            </w:r>
          </w:p>
        </w:tc>
        <w:tc>
          <w:tcPr>
            <w:tcW w:w="5508" w:type="dxa"/>
            <w:tcMar>
              <w:top w:w="0" w:type="dxa"/>
              <w:left w:w="108" w:type="dxa"/>
              <w:bottom w:w="0" w:type="dxa"/>
              <w:right w:w="108" w:type="dxa"/>
            </w:tcMar>
            <w:hideMark/>
          </w:tcPr>
          <w:p w:rsidR="00375088" w:rsidRPr="00375088" w:rsidRDefault="00375088" w:rsidP="00375088">
            <w:pPr>
              <w:spacing w:before="120" w:after="0" w:line="234" w:lineRule="atLeast"/>
              <w:jc w:val="center"/>
              <w:rPr>
                <w:rFonts w:eastAsia="Times New Roman"/>
                <w:szCs w:val="24"/>
              </w:rPr>
            </w:pPr>
            <w:r w:rsidRPr="00375088">
              <w:rPr>
                <w:rFonts w:eastAsia="Times New Roman"/>
                <w:b/>
                <w:bCs/>
                <w:szCs w:val="24"/>
              </w:rPr>
              <w:t>CỘNG HÒA XÃ HỘI CHỦ NGHĨA VIỆT NAM</w:t>
            </w:r>
            <w:r w:rsidRPr="00375088">
              <w:rPr>
                <w:rFonts w:eastAsia="Times New Roman"/>
                <w:b/>
                <w:bCs/>
                <w:szCs w:val="24"/>
              </w:rPr>
              <w:br/>
              <w:t>Độc lập - Tự do - Hạnh phúc</w:t>
            </w:r>
            <w:r w:rsidRPr="00375088">
              <w:rPr>
                <w:rFonts w:eastAsia="Times New Roman"/>
                <w:b/>
                <w:bCs/>
                <w:szCs w:val="24"/>
              </w:rPr>
              <w:br/>
              <w:t>---------------</w:t>
            </w:r>
          </w:p>
        </w:tc>
      </w:tr>
      <w:tr w:rsidR="00375088" w:rsidRPr="00375088" w:rsidTr="00375088">
        <w:trPr>
          <w:tblCellSpacing w:w="0" w:type="dxa"/>
        </w:trPr>
        <w:tc>
          <w:tcPr>
            <w:tcW w:w="3348" w:type="dxa"/>
            <w:tcMar>
              <w:top w:w="0" w:type="dxa"/>
              <w:left w:w="108" w:type="dxa"/>
              <w:bottom w:w="0" w:type="dxa"/>
              <w:right w:w="108" w:type="dxa"/>
            </w:tcMar>
            <w:hideMark/>
          </w:tcPr>
          <w:p w:rsidR="00375088" w:rsidRPr="00375088" w:rsidRDefault="00375088" w:rsidP="00375088">
            <w:pPr>
              <w:spacing w:before="120" w:after="0" w:line="234" w:lineRule="atLeast"/>
              <w:jc w:val="center"/>
              <w:rPr>
                <w:rFonts w:eastAsia="Times New Roman"/>
                <w:szCs w:val="24"/>
              </w:rPr>
            </w:pPr>
            <w:r w:rsidRPr="00375088">
              <w:rPr>
                <w:rFonts w:eastAsia="Times New Roman"/>
                <w:szCs w:val="24"/>
              </w:rPr>
              <w:t>Số: 67/2014/NĐ-CP</w:t>
            </w:r>
          </w:p>
        </w:tc>
        <w:tc>
          <w:tcPr>
            <w:tcW w:w="5508" w:type="dxa"/>
            <w:tcMar>
              <w:top w:w="0" w:type="dxa"/>
              <w:left w:w="108" w:type="dxa"/>
              <w:bottom w:w="0" w:type="dxa"/>
              <w:right w:w="108" w:type="dxa"/>
            </w:tcMar>
            <w:hideMark/>
          </w:tcPr>
          <w:p w:rsidR="00375088" w:rsidRPr="00375088" w:rsidRDefault="00375088" w:rsidP="00375088">
            <w:pPr>
              <w:spacing w:before="120" w:after="0" w:line="234" w:lineRule="atLeast"/>
              <w:jc w:val="right"/>
              <w:rPr>
                <w:rFonts w:eastAsia="Times New Roman"/>
                <w:szCs w:val="24"/>
              </w:rPr>
            </w:pPr>
            <w:r w:rsidRPr="00375088">
              <w:rPr>
                <w:rFonts w:eastAsia="Times New Roman"/>
                <w:i/>
                <w:iCs/>
                <w:szCs w:val="24"/>
              </w:rPr>
              <w:t>Hà Nội, ngày 07 tháng 07 năm 2014</w:t>
            </w:r>
          </w:p>
        </w:tc>
      </w:tr>
    </w:tbl>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color w:val="000000"/>
          <w:sz w:val="18"/>
          <w:szCs w:val="18"/>
          <w:lang w:val="vi-VN"/>
        </w:rPr>
        <w:t> </w:t>
      </w:r>
    </w:p>
    <w:p w:rsidR="00375088" w:rsidRPr="00375088" w:rsidRDefault="00375088" w:rsidP="00375088">
      <w:pPr>
        <w:shd w:val="clear" w:color="auto" w:fill="FFFFFF"/>
        <w:spacing w:after="0" w:line="234" w:lineRule="atLeast"/>
        <w:jc w:val="center"/>
        <w:rPr>
          <w:rFonts w:ascii="Arial" w:eastAsia="Times New Roman" w:hAnsi="Arial" w:cs="Arial"/>
          <w:color w:val="000000"/>
          <w:sz w:val="18"/>
          <w:szCs w:val="18"/>
        </w:rPr>
      </w:pPr>
      <w:bookmarkStart w:id="0" w:name="loai_1"/>
      <w:r w:rsidRPr="00375088">
        <w:rPr>
          <w:rFonts w:ascii="Arial" w:eastAsia="Times New Roman" w:hAnsi="Arial" w:cs="Arial"/>
          <w:b/>
          <w:bCs/>
          <w:color w:val="000000"/>
          <w:szCs w:val="24"/>
          <w:lang w:val="vi-VN"/>
        </w:rPr>
        <w:t>NGHỊ ĐỊNH</w:t>
      </w:r>
      <w:bookmarkEnd w:id="0"/>
    </w:p>
    <w:p w:rsidR="00375088" w:rsidRPr="00375088" w:rsidRDefault="00375088" w:rsidP="00375088">
      <w:pPr>
        <w:shd w:val="clear" w:color="auto" w:fill="FFFFFF"/>
        <w:spacing w:after="0" w:line="234" w:lineRule="atLeast"/>
        <w:jc w:val="center"/>
        <w:rPr>
          <w:rFonts w:ascii="Arial" w:eastAsia="Times New Roman" w:hAnsi="Arial" w:cs="Arial"/>
          <w:color w:val="000000"/>
          <w:sz w:val="18"/>
          <w:szCs w:val="18"/>
        </w:rPr>
      </w:pPr>
      <w:bookmarkStart w:id="1" w:name="loai_1_name"/>
      <w:r w:rsidRPr="00375088">
        <w:rPr>
          <w:rFonts w:ascii="Arial" w:eastAsia="Times New Roman" w:hAnsi="Arial" w:cs="Arial"/>
          <w:color w:val="000000"/>
          <w:sz w:val="18"/>
          <w:szCs w:val="18"/>
          <w:lang w:val="vi-VN"/>
        </w:rPr>
        <w:t>VỀ MỘT SỐ CHÍNH SÁCH PHÁT TRIỂN THỦY SẢN</w:t>
      </w:r>
      <w:bookmarkEnd w:id="1"/>
    </w:p>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Tổ chức Chính phủ ngày 25 tháng 12 năm 2001;</w:t>
      </w:r>
    </w:p>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Ngân sách nhà nước ngày 16 tháng 12 năm 2002;</w:t>
      </w:r>
    </w:p>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Thủy sản ngày 26 tháng 11 năm 2003;</w:t>
      </w:r>
    </w:p>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Ngân hàng nhà nước ngày 16 tháng 6 năm 2010;</w:t>
      </w:r>
    </w:p>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Tổ chức tín dụng ngày 16 tháng 6 năm 2010;</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Kinh doanh bảo hiểm ngày 09 tháng 12 năm 2000 và Luật sửa đổi, bổ sung một số điều của Luật Kinh doanh bảo hiểm ngày 24 tháng 11 năm 2010;</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Căn cứ Luật Thuế thu nhập doanh nghiệp và Luật sửa đổi, bổ sung một số điều của Luật Thuế thu nhập doanh nghiệp năm 2013; Luật Thuế giá trị gia tăng và Luật Sửa đổi, bổ sung một số điều của Luật Thuế giá trị gia tăng năm 2013; Luật Thuế thu nhập cá nhân và Luật sửa đổi, bổ sung một số điều của Luật Thuế thu nhập cá nhân năm 2013; Luật Quản lý thuế và Luật sửa đổi, bổ sung một số điều của Luật Quản lý thuế năm 2013; Luật Thuế tài nguyên năm 2009; Pháp lệnh Phí, lệ phí năm 2001;</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Theo đề nghị của Bộ trưởng Bộ Tài chính,, Bộ trưởng Bộ Nông nghiệp và Phát triển nông thôn và Thống đốc Ngân hàng Nhà nước Việt Nam,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i/>
          <w:iCs/>
          <w:color w:val="000000"/>
          <w:sz w:val="18"/>
          <w:szCs w:val="18"/>
          <w:lang w:val="vi-VN"/>
        </w:rPr>
        <w:t>Chính phủ ban hành Nghị định về một số chính sách phát triển thủy sản.</w:t>
      </w:r>
    </w:p>
    <w:p w:rsidR="00375088" w:rsidRPr="00375088" w:rsidRDefault="00375088" w:rsidP="00375088">
      <w:pPr>
        <w:shd w:val="clear" w:color="auto" w:fill="FFFFFF"/>
        <w:spacing w:after="0" w:line="234" w:lineRule="atLeast"/>
        <w:rPr>
          <w:rFonts w:ascii="Arial" w:eastAsia="Times New Roman" w:hAnsi="Arial" w:cs="Arial"/>
          <w:color w:val="000000"/>
          <w:sz w:val="18"/>
          <w:szCs w:val="18"/>
        </w:rPr>
      </w:pPr>
      <w:bookmarkStart w:id="2" w:name="chuong_1"/>
      <w:r w:rsidRPr="00375088">
        <w:rPr>
          <w:rFonts w:ascii="Arial" w:eastAsia="Times New Roman" w:hAnsi="Arial" w:cs="Arial"/>
          <w:b/>
          <w:bCs/>
          <w:color w:val="000000"/>
          <w:sz w:val="18"/>
          <w:szCs w:val="18"/>
        </w:rPr>
        <w:t>Chương I</w:t>
      </w:r>
      <w:bookmarkEnd w:id="2"/>
    </w:p>
    <w:p w:rsidR="00375088" w:rsidRPr="00375088" w:rsidRDefault="00375088" w:rsidP="00375088">
      <w:pPr>
        <w:shd w:val="clear" w:color="auto" w:fill="FFFFFF"/>
        <w:spacing w:after="0" w:line="234" w:lineRule="atLeast"/>
        <w:jc w:val="center"/>
        <w:rPr>
          <w:rFonts w:ascii="Arial" w:eastAsia="Times New Roman" w:hAnsi="Arial" w:cs="Arial"/>
          <w:color w:val="000000"/>
          <w:sz w:val="18"/>
          <w:szCs w:val="18"/>
        </w:rPr>
      </w:pPr>
      <w:bookmarkStart w:id="3" w:name="chuong_1_name"/>
      <w:r w:rsidRPr="00375088">
        <w:rPr>
          <w:rFonts w:ascii="Arial" w:eastAsia="Times New Roman" w:hAnsi="Arial" w:cs="Arial"/>
          <w:b/>
          <w:bCs/>
          <w:color w:val="000000"/>
          <w:szCs w:val="24"/>
        </w:rPr>
        <w:t>QUY ĐỊNH CHUNG</w:t>
      </w:r>
      <w:bookmarkEnd w:id="3"/>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4" w:name="dieu_1"/>
      <w:r w:rsidRPr="00375088">
        <w:rPr>
          <w:rFonts w:ascii="Arial" w:eastAsia="Times New Roman" w:hAnsi="Arial" w:cs="Arial"/>
          <w:b/>
          <w:bCs/>
          <w:color w:val="000000"/>
          <w:sz w:val="18"/>
          <w:szCs w:val="18"/>
        </w:rPr>
        <w:t xml:space="preserve">Điều 1. Phạm </w:t>
      </w:r>
      <w:proofErr w:type="gramStart"/>
      <w:r w:rsidRPr="00375088">
        <w:rPr>
          <w:rFonts w:ascii="Arial" w:eastAsia="Times New Roman" w:hAnsi="Arial" w:cs="Arial"/>
          <w:b/>
          <w:bCs/>
          <w:color w:val="000000"/>
          <w:sz w:val="18"/>
          <w:szCs w:val="18"/>
        </w:rPr>
        <w:t>vi</w:t>
      </w:r>
      <w:proofErr w:type="gramEnd"/>
      <w:r w:rsidRPr="00375088">
        <w:rPr>
          <w:rFonts w:ascii="Arial" w:eastAsia="Times New Roman" w:hAnsi="Arial" w:cs="Arial"/>
          <w:b/>
          <w:bCs/>
          <w:color w:val="000000"/>
          <w:sz w:val="18"/>
          <w:szCs w:val="18"/>
        </w:rPr>
        <w:t xml:space="preserve"> điều chỉnh</w:t>
      </w:r>
      <w:bookmarkEnd w:id="4"/>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Nghị định này quy định chính sách về đầu tư, tín dụng, bảo hiểm; chính sách ưu đãi thuế và một số chính sách khác nhằm phát triển thủy sản.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5" w:name="dieu_2"/>
      <w:r w:rsidRPr="00375088">
        <w:rPr>
          <w:rFonts w:ascii="Arial" w:eastAsia="Times New Roman" w:hAnsi="Arial" w:cs="Arial"/>
          <w:b/>
          <w:bCs/>
          <w:color w:val="000000"/>
          <w:sz w:val="18"/>
          <w:szCs w:val="18"/>
        </w:rPr>
        <w:t>Điều 2. Đối tượng áp dụng</w:t>
      </w:r>
      <w:bookmarkEnd w:id="5"/>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Nghị định này áp dụng đối với:</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Tổ chức, cá nhân Việt Nam hoạt động thủy sản.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6" w:name="cumtu_1"/>
      <w:r w:rsidRPr="00375088">
        <w:rPr>
          <w:rFonts w:ascii="Arial" w:eastAsia="Times New Roman" w:hAnsi="Arial" w:cs="Arial"/>
          <w:color w:val="000000"/>
          <w:sz w:val="18"/>
          <w:szCs w:val="18"/>
          <w:shd w:val="clear" w:color="auto" w:fill="FFFF96"/>
        </w:rPr>
        <w:t xml:space="preserve">2. Tổ chức, cá nhân (sau đây gọi là chủ tàu) đặt hàng đóng mới tàu, nâng cấp tàu (thay máy mới; gia cố bọc vỏ thép; bọc vỏ vật liệu mới; mua </w:t>
      </w:r>
      <w:proofErr w:type="gramStart"/>
      <w:r w:rsidRPr="00375088">
        <w:rPr>
          <w:rFonts w:ascii="Arial" w:eastAsia="Times New Roman" w:hAnsi="Arial" w:cs="Arial"/>
          <w:color w:val="000000"/>
          <w:sz w:val="18"/>
          <w:szCs w:val="18"/>
          <w:shd w:val="clear" w:color="auto" w:fill="FFFF96"/>
        </w:rPr>
        <w:t>ngư</w:t>
      </w:r>
      <w:proofErr w:type="gramEnd"/>
      <w:r w:rsidRPr="00375088">
        <w:rPr>
          <w:rFonts w:ascii="Arial" w:eastAsia="Times New Roman" w:hAnsi="Arial" w:cs="Arial"/>
          <w:color w:val="000000"/>
          <w:sz w:val="18"/>
          <w:szCs w:val="18"/>
          <w:shd w:val="clear" w:color="auto" w:fill="FFFF96"/>
        </w:rPr>
        <w:t xml:space="preserve"> lưới cụ, trang thiết bị hàng hải; trang thiết bị bảo quản hải sản, bốc xếp hàng hóa) phục vụ hoạt động khai thác hải sản.</w:t>
      </w:r>
      <w:bookmarkEnd w:id="6"/>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3. Tổ chức, cá nhân thực hiện dự </w:t>
      </w:r>
      <w:proofErr w:type="gramStart"/>
      <w:r w:rsidRPr="00375088">
        <w:rPr>
          <w:rFonts w:ascii="Arial" w:eastAsia="Times New Roman" w:hAnsi="Arial" w:cs="Arial"/>
          <w:color w:val="000000"/>
          <w:sz w:val="18"/>
          <w:szCs w:val="18"/>
        </w:rPr>
        <w:t>án</w:t>
      </w:r>
      <w:proofErr w:type="gramEnd"/>
      <w:r w:rsidRPr="00375088">
        <w:rPr>
          <w:rFonts w:ascii="Arial" w:eastAsia="Times New Roman" w:hAnsi="Arial" w:cs="Arial"/>
          <w:color w:val="000000"/>
          <w:sz w:val="18"/>
          <w:szCs w:val="18"/>
        </w:rPr>
        <w:t xml:space="preserve"> đầu tư cơ sở hạ tầng phục vụ hoạt động thủy sản.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7" w:name="chuong_2"/>
      <w:r w:rsidRPr="00375088">
        <w:rPr>
          <w:rFonts w:ascii="Arial" w:eastAsia="Times New Roman" w:hAnsi="Arial" w:cs="Arial"/>
          <w:b/>
          <w:bCs/>
          <w:color w:val="000000"/>
          <w:sz w:val="18"/>
          <w:szCs w:val="18"/>
          <w:shd w:val="clear" w:color="auto" w:fill="FFFF96"/>
        </w:rPr>
        <w:t>Chương II</w:t>
      </w:r>
      <w:bookmarkEnd w:id="7"/>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8" w:name="chuong_2_name"/>
      <w:r w:rsidRPr="00375088">
        <w:rPr>
          <w:rFonts w:ascii="Arial" w:eastAsia="Times New Roman" w:hAnsi="Arial" w:cs="Arial"/>
          <w:b/>
          <w:bCs/>
          <w:color w:val="000000"/>
          <w:szCs w:val="24"/>
        </w:rPr>
        <w:t>MỘT SỐ CHÍNH SÁCH PHÁT TRIỂN THỦY SẢN</w:t>
      </w:r>
      <w:bookmarkEnd w:id="8"/>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9" w:name="dieu_3"/>
      <w:r w:rsidRPr="00375088">
        <w:rPr>
          <w:rFonts w:ascii="Arial" w:eastAsia="Times New Roman" w:hAnsi="Arial" w:cs="Arial"/>
          <w:b/>
          <w:bCs/>
          <w:color w:val="000000"/>
          <w:sz w:val="18"/>
          <w:szCs w:val="18"/>
          <w:shd w:val="clear" w:color="auto" w:fill="FFFF96"/>
        </w:rPr>
        <w:t>Điều 3. Chính sách đầu tư</w:t>
      </w:r>
      <w:bookmarkEnd w:id="9"/>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Đối với các hạng mục hạ tầng thiết yếu của cảng cá, khu neo đậu tránh trú bão (bao gồm cầu cảng; kè bờ, kè chắn sóng, chắn cát; nạo vét luồng ra vào cảng, vùng nước neo đậu tàu; công trình neo buộc tàu; hệ thống phao tiêu, báo hiệu, đèn tín hiệu; hệ thống thông tin liên lạc chuyên dùng):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Ngân sách trung ương đầu tư 100% kinh phí xây dựng cảng cá loại I, khu neo đậu tránh trú bão cấp vùng.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Ngân sách trung ương hỗ trợ đầu tư cho cảng cá loại II và khu neo đậu tránh trú bão cấp tỉnh tối đa 90% đối với các địa phương chưa tự cân đối được ngân sách và tỉnh Quảng Ngãi, tối đa 50% đối với địa phương có điều tiết các khoản thu phân chia về ngân sách trung ương.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Ngân sách trung ương đầu tư 100% tổng mức đầu tư (kể cả giải phóng mặt bằng, các hạng mục hạ tầng thiết yếu và các hạng mục khác) đối với các tuyến đảo, bao gồm các dự án cảng cá (cảng loại I, loại II) và khu neo đậu tránh trú bão thuộc tuyến đảo.</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3. Đối với các hạng mục hạ tầng vùng nuôi trồng thủy sản; vùng sản xuất giống tập trung bao gồm: Hệ thống cấp thoát nước đầu mối (ao, bể chứa, cống, kênh, đường ống cấp, tiêu nước, trạm bơm), đê bao, kè, đường giao thông, hệ thống điện, công trình xử lý nước thải chung; nâng cấp cơ sở hạ tầng các Trung tâm giống thủy sản </w:t>
      </w:r>
      <w:r w:rsidRPr="00375088">
        <w:rPr>
          <w:rFonts w:ascii="Arial" w:eastAsia="Times New Roman" w:hAnsi="Arial" w:cs="Arial"/>
          <w:color w:val="000000"/>
          <w:sz w:val="18"/>
          <w:szCs w:val="18"/>
        </w:rPr>
        <w:lastRenderedPageBreak/>
        <w:t>quốc gia, Trung tâm giống thủy sản cấp vùng, cấp tỉnh; Trung tâm quan trắc cảnh báo môi trường nuôi trồng thủy sản, Trung tâm khảo nghiệm, kiểm định nuôi trồng thủy sản cấp Trung ương và cấp vùng: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a) Ngân sách trung ương đầu tư 100% kinh phí xây dựng đối với các dự </w:t>
      </w:r>
      <w:proofErr w:type="gramStart"/>
      <w:r w:rsidRPr="00375088">
        <w:rPr>
          <w:rFonts w:ascii="Arial" w:eastAsia="Times New Roman" w:hAnsi="Arial" w:cs="Arial"/>
          <w:color w:val="000000"/>
          <w:sz w:val="18"/>
          <w:szCs w:val="18"/>
        </w:rPr>
        <w:t>án</w:t>
      </w:r>
      <w:proofErr w:type="gramEnd"/>
      <w:r w:rsidRPr="00375088">
        <w:rPr>
          <w:rFonts w:ascii="Arial" w:eastAsia="Times New Roman" w:hAnsi="Arial" w:cs="Arial"/>
          <w:color w:val="000000"/>
          <w:sz w:val="18"/>
          <w:szCs w:val="18"/>
        </w:rPr>
        <w:t xml:space="preserve"> do Bộ, ngành trung ương quản lý.</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b) Ngân sách trung ương hỗ trợ đầu tư tối đa 90% đối với các địa phương chưa tự cân đối được ngân sách và tỉnh Quảng Ngãi, tối đa 50% đối với địa phương có điều tiết các khoản </w:t>
      </w:r>
      <w:proofErr w:type="gramStart"/>
      <w:r w:rsidRPr="00375088">
        <w:rPr>
          <w:rFonts w:ascii="Arial" w:eastAsia="Times New Roman" w:hAnsi="Arial" w:cs="Arial"/>
          <w:color w:val="000000"/>
          <w:sz w:val="18"/>
          <w:szCs w:val="18"/>
        </w:rPr>
        <w:t>thu</w:t>
      </w:r>
      <w:proofErr w:type="gramEnd"/>
      <w:r w:rsidRPr="00375088">
        <w:rPr>
          <w:rFonts w:ascii="Arial" w:eastAsia="Times New Roman" w:hAnsi="Arial" w:cs="Arial"/>
          <w:color w:val="000000"/>
          <w:sz w:val="18"/>
          <w:szCs w:val="18"/>
        </w:rPr>
        <w:t xml:space="preserve"> phân chia về ngân sách trung ương đối với các dự án do địa phương quản lý.</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4. Ngân sách trung ương đầu tư 100% kinh phí xây dựng hạ tầng vùng nuôi trồng thủy sản tập trung trên biển bao gồm hệ thống phao tiêu, đèn báo ranh giới khu vực nuôi, hệ thống neo lồng bè.</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5. Đối với kinh phí đền bù giải phóng mặt bằng các dự </w:t>
      </w:r>
      <w:proofErr w:type="gramStart"/>
      <w:r w:rsidRPr="00375088">
        <w:rPr>
          <w:rFonts w:ascii="Arial" w:eastAsia="Times New Roman" w:hAnsi="Arial" w:cs="Arial"/>
          <w:color w:val="000000"/>
          <w:sz w:val="18"/>
          <w:szCs w:val="18"/>
        </w:rPr>
        <w:t>án</w:t>
      </w:r>
      <w:proofErr w:type="gramEnd"/>
      <w:r w:rsidRPr="00375088">
        <w:rPr>
          <w:rFonts w:ascii="Arial" w:eastAsia="Times New Roman" w:hAnsi="Arial" w:cs="Arial"/>
          <w:color w:val="000000"/>
          <w:sz w:val="18"/>
          <w:szCs w:val="18"/>
        </w:rPr>
        <w:t xml:space="preserve"> đầu tư thủy sản nêu tại Khoản 1, Khoản 3, Khoản 4 và Khoản 5 Điều này do ngân sách địa phương đảm bảo, kể cả các dự án của Trung ương tại địa phương.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6. Ngân sách nhà nước ưu tiên bố trí vốn hàng năm theo kế hoạch được cấp có thẩm quyền phê duyệt từ năm 2015 đến năm 2020 với mức đầu tư bình quân hàng năm tăng tối thiểu gấp 2 lần so với số vốn bình quân hàng năm đã bố trí cho giai đoạn 2011 - 2014 để thực hiện, bảo đảm đẩy nhanh và hoàn thành dứt điểm các công trình, dự án theo quy định. Tập trung ưu tiên xây dựng, nâng cấp công trình tại các đảo Lý Sơn, Phú Quý, Côn Đảo, Phú Quốc, Bạch Long Vĩ, Cô Tô, Cồn Cỏ và một số tỉnh duyên hải Nam Trung bộ; bố trí vốn đầu tư xây các trung tâm nghề cá lớn gắn với ngư trường trọng điểm tại thành phố: Hải Phòng, Đà Nẵng, tỉnh: Khánh Hòa, Bà Rịa - Vũng Tàu, Kiên Giang theo quy hoạch đã được cấp có thẩm quyền phê duyệt.</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0" w:name="dieu_4"/>
      <w:r w:rsidRPr="00375088">
        <w:rPr>
          <w:rFonts w:ascii="Arial" w:eastAsia="Times New Roman" w:hAnsi="Arial" w:cs="Arial"/>
          <w:b/>
          <w:bCs/>
          <w:color w:val="000000"/>
          <w:sz w:val="18"/>
          <w:szCs w:val="18"/>
          <w:shd w:val="clear" w:color="auto" w:fill="FFFF96"/>
        </w:rPr>
        <w:t>Điều 4. Chính sách tín dụng</w:t>
      </w:r>
      <w:bookmarkEnd w:id="10"/>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1" w:name="khoan_1"/>
      <w:r w:rsidRPr="00375088">
        <w:rPr>
          <w:rFonts w:ascii="Arial" w:eastAsia="Times New Roman" w:hAnsi="Arial" w:cs="Arial"/>
          <w:color w:val="000000"/>
          <w:sz w:val="18"/>
          <w:szCs w:val="18"/>
        </w:rPr>
        <w:t>1. Chính sách tín dụng đóng mới, nâng cấp tàu, bao gồm:</w:t>
      </w:r>
      <w:bookmarkEnd w:id="11"/>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2" w:name="cumtu_2"/>
      <w:r w:rsidRPr="00375088">
        <w:rPr>
          <w:rFonts w:ascii="Arial" w:eastAsia="Times New Roman" w:hAnsi="Arial" w:cs="Arial"/>
          <w:color w:val="000000"/>
          <w:sz w:val="18"/>
          <w:szCs w:val="18"/>
          <w:shd w:val="clear" w:color="auto" w:fill="FFFF96"/>
        </w:rPr>
        <w:t>a) Chủ tàu đặt hàng đóng mới tàu có tổng công suất máy chính từ 400CV trở lên; nâng cấp tàu có tổng công suất máy chính dưới 400CV thành tàu có tổng công suất máy chính từ 400CV trở lên và nâng cấp công suất máy đối với tàu có tổng công suất máy chính từ 400CV trở lên để khai thác hải sản xa bờ và cung cấp dịch vụ hậu cần khai thác hải sản xa bờ.</w:t>
      </w:r>
      <w:bookmarkEnd w:id="12"/>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Điều kiện vay: Các đối tượng đang hoạt động nghề cá có hiệu quả, có khả năng tài chính và có phương án sản xuất cụ thể, được Ủy ban nhân dân các tỉnh, thành phố trực thuộc Trung ương phê duyệt.</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3" w:name="cumtu_3"/>
      <w:r w:rsidRPr="00375088">
        <w:rPr>
          <w:rFonts w:ascii="Arial" w:eastAsia="Times New Roman" w:hAnsi="Arial" w:cs="Arial"/>
          <w:color w:val="000000"/>
          <w:sz w:val="18"/>
          <w:szCs w:val="18"/>
          <w:shd w:val="clear" w:color="auto" w:fill="FFFF96"/>
        </w:rPr>
        <w:t>c) Hạn mức vay, lãi suất vay và mức bù chênh lệch lãi suất cụ thể như sau:</w:t>
      </w:r>
      <w:bookmarkEnd w:id="13"/>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Đối với đóng mới tàu dịch vụ hậu cần khai thác hải sản xa bờ, bao gồm cả máy móc, trang thiết bị hàng hải; máy móc thiết bị bảo quản hải sản; bảo quản hàng hóa; bốc xếp hàng hóa:</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thép: Chủ tàu được vay vốn ngân hàng thương mại tối đa 95% tổng giá trị đầu tư đóng mới với lãi suất 7%/năm, trong đó chủ tàu trả 1%/năm, ngân sách nhà nước cấp bù 6%/năm.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gỗ: Chủ tàu được vay vốn ngân hàng thương mại tối đa 70% tổng giá trị đầu tư đóng mới, với lãi suất 7%/năm, trong đó chủ tàu trả 3%/năm, ngân sách nhà nước cấp bù 4%/năm.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 Đối với đóng mới tàu khai thác hải sản xa bờ, bao gồm cả máy móc, trang thiết bị hàng hải; thiết bị phục vụ khai thác; </w:t>
      </w:r>
      <w:proofErr w:type="gramStart"/>
      <w:r w:rsidRPr="00375088">
        <w:rPr>
          <w:rFonts w:ascii="Arial" w:eastAsia="Times New Roman" w:hAnsi="Arial" w:cs="Arial"/>
          <w:color w:val="000000"/>
          <w:sz w:val="18"/>
          <w:szCs w:val="18"/>
        </w:rPr>
        <w:t>ngư</w:t>
      </w:r>
      <w:proofErr w:type="gramEnd"/>
      <w:r w:rsidRPr="00375088">
        <w:rPr>
          <w:rFonts w:ascii="Arial" w:eastAsia="Times New Roman" w:hAnsi="Arial" w:cs="Arial"/>
          <w:color w:val="000000"/>
          <w:sz w:val="18"/>
          <w:szCs w:val="18"/>
        </w:rPr>
        <w:t xml:space="preserve"> lưới cụ; trang thiết bị bảo quản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thép, vỏ vật liệu mới có tổng công suất máy chính từ 400CV đến dưới 800CV: Chủ tàu được vay vốn ngân hàng tối đa 90% tổng giá trị đầu tư đóng mới tàu với lãi suất 7%/năm, trong đó chủ tàu trả 2%/năm, ngân sách nhà nước cấp bù 5%/năm.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thép, vỏ vật liệu mới có tổng công suất máy chính từ 800CV trở lên: Chủ tàu được vay vốn ngân hàng thương mại tối đa 95% tổng giá trị đầu tư đóng mới tàu với lãi suất 7%/năm, trong đó chủ tàu trả 1%/năm, ngân sách nhà nước cấp bù 6%/năm.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gỗ: Chủ tàu được vay vốn ngân hàng thương mại tối đa 70% tổng giá trị đầu tư đóng mới với lãi suất 7%/năm, trong đó chủ tàu trả 3%/năm, ngân sách nhà nước cấp bù 4%/năm.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đóng mới tàu vỏ gỗ đồng thời gia cố bọc vỏ thép, bọc vỏ vật liệu mới cho tàu: Chủ tàu được vay vốn ngân hàng thương mại tối đa 70% tổng giá trị đầu tư đóng mới tàu với lãi suất 7%/năm, trong đó chủ tàu trả 3%/năm, ngân sách nhà nước cấp bù 4%/năm.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Đối với nâng cấp tàu vỏ gỗ có tổng công suất máy chính dưới 400CV thành tàu có tổng công suất máy chính từ 400CV trở lên và nâng cấp công suất máy đối với tàu có tổng công suất máy chính từ 400CV trở lên (phần máy bổ sung hoặc thay thế phải là máy mới 100%): Chủ tàu được vay vốn ngân hàng thương mại tối đa 70% tổng giá trị nâng cấp tàu, bao gồm cả chi phí gia cố vỏ tàu, chi phí mua trang thiết bị và ngư lưới cụ mới phục vụ khai thác hải sản (nếu có) với lãi suất 7%/năm, trong đó chủ tàu trả 3%/năm, ngân sách nhà nước cấp bù 4%/năm.</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4" w:name="cumtu_4"/>
      <w:r w:rsidRPr="00375088">
        <w:rPr>
          <w:rFonts w:ascii="Arial" w:eastAsia="Times New Roman" w:hAnsi="Arial" w:cs="Arial"/>
          <w:color w:val="000000"/>
          <w:sz w:val="18"/>
          <w:szCs w:val="18"/>
          <w:shd w:val="clear" w:color="auto" w:fill="FFFF96"/>
        </w:rPr>
        <w:t>d) Thời hạn cho vay: 11 năm, trong đó năm đầu tiên chủ tàu được miễn lãi và chưa phải trả nợ gốc, Ngân sách nhà nước cấp bù số lãi vay của chủ tàu được miễn năm đầu cho các ngân hàng thương mại.</w:t>
      </w:r>
      <w:bookmarkEnd w:id="14"/>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đ) Tài sản thế chấp: Chủ tàu được thế chấp giá trị tài sản hình thành từ vốn vay làm tài sản để bảo đảm khoản vay.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lastRenderedPageBreak/>
        <w:t xml:space="preserve">e) Ổn định mức lãi suất chủ tàu phải trả hàng năm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của Nghị định này. Mức lãi suất 7%/năm quy định tại Điều này thực hiện trong năm đầu tính từ ngày đối tượng ký kết vốn vay với ngân hàng thương mại. Khi mặt bằng lãi suất cho vay giảm, Ngân hàng Nhà nước Việt Nam căn cứ tình hình thực tế báo cáo Thủ tướng Chính phủ điều chỉnh giảm tương ứng. Trường hợp mặt bằng lãi suất cho vay tăng, xử lý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tại Điểm d Khoản 4 Điều 9 của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Cơ chế xử lý rủi ro:</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Các khoản cho vay đóng mới, nâng cấp tàu quy định tại Khoản 1 Điều này bị rủi ro xảy ra do nguyên nhân khách quan, bất khả kháng, thì tùy theo mức độ bị thiệt hại được xử lý theo nguyên tắc sau: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Đối với chủ tàu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thiệt hại nhưng tàu vẫn có thể sửa chữa để hoạt động, chủ tàu được ngân hàng thương mại cơ cấu lại thời hạn trả nợ khoản vay trong thời gian sửa chữa tàu. Công ty bảo hiểm thanh toán toàn bộ chi phí sửa tàu.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 Trường hợp thiệt hại khiến tàu không thể sử dụng khai thác, việc xử lý rủi ro do ngân hàng thương mại cho vay thực hiện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tại Điểm b Khoản 2 Điều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Đối với ngân hàng thương mại cho vay.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thiệt hại nhưng tàu vẫn có thể sửa chữa để hoạt động, ngân hàng thương mại thực hiện cơ cấu lại thời hạn trả nợ cho khách hàng trong thời gian sửa chữa tàu.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 Trường hợp thiệt hại khiến tàu không thể tiếp tục sử dụng khai thác, ngân hàng thương mại xử lý nợ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thứ tự như sau: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 Tài sản đã mua bảo hiểm thì xử lý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hợp đồng bảo hiểm.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 Sử dụng khoản dự phòng được trích lập đối với dư nợ cho vay chính con tàu trong chi phí để bù đắp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của pháp luật.</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Trường hợp đã xử lý như trên nhưng vẫn chưa thu hồi đủ nợ gốc, ngân hàng thương mại báo cáo Ngân hàng Nhà nước Việt Nam để trình Thủ tướng Chính phủ chỉ đạo xử lý từng trường hợp cụ thể.</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3. Chính sách cho vay vốn lưu động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Đối tượng được vay vốn: Các chủ tàu khai thác hải sản và cung cấp dịch vụ hậu cần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b) Điều kiện vay: Là các đối tượng đang hoạt động nghề cá có hiệu quả, có khả năng tài chính và có phương </w:t>
      </w:r>
      <w:proofErr w:type="gramStart"/>
      <w:r w:rsidRPr="00375088">
        <w:rPr>
          <w:rFonts w:ascii="Arial" w:eastAsia="Times New Roman" w:hAnsi="Arial" w:cs="Arial"/>
          <w:color w:val="000000"/>
          <w:sz w:val="18"/>
          <w:szCs w:val="18"/>
        </w:rPr>
        <w:t>án</w:t>
      </w:r>
      <w:proofErr w:type="gramEnd"/>
      <w:r w:rsidRPr="00375088">
        <w:rPr>
          <w:rFonts w:ascii="Arial" w:eastAsia="Times New Roman" w:hAnsi="Arial" w:cs="Arial"/>
          <w:color w:val="000000"/>
          <w:sz w:val="18"/>
          <w:szCs w:val="18"/>
        </w:rPr>
        <w:t xml:space="preserve"> sản xuất kinh doanh cụ thể.</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 Hạn mức vay: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Tối đa 70% giá trị cung cấp dịch vụ hậu cần đối với tàu dịch vụ hậu cần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Tối đa 70% chi phí cho một chuyến đi biển đối với tàu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d) Lãi suất cho vay là 7%/năm trong năm đầu tính từ ngày đối tượng ký kết vốn vay với ngân hàng thương mại và được Ngân hàng Nhà nước Việt Nam căn cứ tình hình thực tế báo cáo Thủ tướng Chính phủ điều chỉnh đảm bảo lãi suất cho vay không vượt quá lãi suất cho vay thấp nhất trong lĩnh vực nông nghiệp, nông thôn.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5" w:name="dieu_5"/>
      <w:r w:rsidRPr="00375088">
        <w:rPr>
          <w:rFonts w:ascii="Arial" w:eastAsia="Times New Roman" w:hAnsi="Arial" w:cs="Arial"/>
          <w:b/>
          <w:bCs/>
          <w:color w:val="000000"/>
          <w:sz w:val="18"/>
          <w:szCs w:val="18"/>
          <w:shd w:val="clear" w:color="auto" w:fill="FFFF96"/>
        </w:rPr>
        <w:t>Điều 5. Chính sách bảo hiểm</w:t>
      </w:r>
      <w:bookmarkEnd w:id="15"/>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Ngân sách nhà nước hỗ trợ kinh phí mua bảo hiểm cho các tàu khai thác hải sản xa bờ, tàu dịch vụ hậu cần khai thác hải sản xa bờ là thành viên tổ đội, hợp tác xã khai thác hải sản và có tổng công suất máy chính từ 90CV trở lên: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1. Hỗ trợ hàng năm 100% kinh phí mua bảo hiểm </w:t>
      </w:r>
      <w:proofErr w:type="gramStart"/>
      <w:r w:rsidRPr="00375088">
        <w:rPr>
          <w:rFonts w:ascii="Arial" w:eastAsia="Times New Roman" w:hAnsi="Arial" w:cs="Arial"/>
          <w:color w:val="000000"/>
          <w:sz w:val="18"/>
          <w:szCs w:val="18"/>
        </w:rPr>
        <w:t>tai</w:t>
      </w:r>
      <w:proofErr w:type="gramEnd"/>
      <w:r w:rsidRPr="00375088">
        <w:rPr>
          <w:rFonts w:ascii="Arial" w:eastAsia="Times New Roman" w:hAnsi="Arial" w:cs="Arial"/>
          <w:color w:val="000000"/>
          <w:sz w:val="18"/>
          <w:szCs w:val="18"/>
        </w:rPr>
        <w:t xml:space="preserve"> nạn thuyền viên cho mỗi thuyền viên làm việc trên tàu.</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2. Hỗ trợ hàng năm kinh phí mua bảo hiểm thân tàu, trang thiết bị, </w:t>
      </w:r>
      <w:proofErr w:type="gramStart"/>
      <w:r w:rsidRPr="00375088">
        <w:rPr>
          <w:rFonts w:ascii="Arial" w:eastAsia="Times New Roman" w:hAnsi="Arial" w:cs="Arial"/>
          <w:color w:val="000000"/>
          <w:sz w:val="18"/>
          <w:szCs w:val="18"/>
        </w:rPr>
        <w:t>ngư</w:t>
      </w:r>
      <w:proofErr w:type="gramEnd"/>
      <w:r w:rsidRPr="00375088">
        <w:rPr>
          <w:rFonts w:ascii="Arial" w:eastAsia="Times New Roman" w:hAnsi="Arial" w:cs="Arial"/>
          <w:color w:val="000000"/>
          <w:sz w:val="18"/>
          <w:szCs w:val="18"/>
        </w:rPr>
        <w:t xml:space="preserve"> lưới cụ trên mỗi tàu (bảo hiểm mọi rủi ro) với mức:</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70% kinh phí mua bảo hiểm đối với tàu có tổng công suất máy chính từ 90CV đến dưới 400CV.</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90% kinh phí mua bảo hiểm đối với tàu có tổng công suất máy chính từ 400CV trở lên.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6" w:name="dieu_6"/>
      <w:r w:rsidRPr="00375088">
        <w:rPr>
          <w:rFonts w:ascii="Arial" w:eastAsia="Times New Roman" w:hAnsi="Arial" w:cs="Arial"/>
          <w:b/>
          <w:bCs/>
          <w:color w:val="000000"/>
          <w:sz w:val="18"/>
          <w:szCs w:val="18"/>
          <w:shd w:val="clear" w:color="auto" w:fill="FFFF96"/>
        </w:rPr>
        <w:t>Điều 6. Chính sách ưu đãi thuế</w:t>
      </w:r>
      <w:bookmarkEnd w:id="16"/>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Miễn thuế tài nguyên đối với hải sản tự nhiên khai thác.</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2. Không </w:t>
      </w:r>
      <w:proofErr w:type="gramStart"/>
      <w:r w:rsidRPr="00375088">
        <w:rPr>
          <w:rFonts w:ascii="Arial" w:eastAsia="Times New Roman" w:hAnsi="Arial" w:cs="Arial"/>
          <w:color w:val="000000"/>
          <w:sz w:val="18"/>
          <w:szCs w:val="18"/>
        </w:rPr>
        <w:t>thu</w:t>
      </w:r>
      <w:proofErr w:type="gramEnd"/>
      <w:r w:rsidRPr="00375088">
        <w:rPr>
          <w:rFonts w:ascii="Arial" w:eastAsia="Times New Roman" w:hAnsi="Arial" w:cs="Arial"/>
          <w:color w:val="000000"/>
          <w:sz w:val="18"/>
          <w:szCs w:val="18"/>
        </w:rPr>
        <w:t xml:space="preserve"> lệ phí trước bạ đối với tàu, thuyền khai thác thủy,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3. Miễn thuế môn bài đối với tổ chức, hộ gia đình, cá nhân nuôi trồng, đánh bắt thủy, hải sản và dịch vụ hậu cần nghề cá.</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4. Miễn tiền thuê đất, thuê mặt nước sử dụng cho hoạt động nuôi trồng thủy, hải sản của tổ chức, hộ gia đình, cá nhân.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lastRenderedPageBreak/>
        <w:t>5. Các trường hợp sau không chịu thuế giá trị gia tăng: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Sản phẩm thủy sản của tổ chức, cá nhân nuôi trồng, khai thác bán ra.</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Bảo hiểm tàu, thuyền, trang thiết bị và các dụng cụ cần thiết khác phục vụ trực tiếp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6. Chủ tàu khai thác hải sản được hoàn thuế giá trị gia tăng của tàu dùng để khai thác hải sản đối với tàu được đóng mới, nâng cấp có tổng công suất máy chính từ 400CV trở lên.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7. Miễn thuế </w:t>
      </w:r>
      <w:proofErr w:type="gramStart"/>
      <w:r w:rsidRPr="00375088">
        <w:rPr>
          <w:rFonts w:ascii="Arial" w:eastAsia="Times New Roman" w:hAnsi="Arial" w:cs="Arial"/>
          <w:color w:val="000000"/>
          <w:sz w:val="18"/>
          <w:szCs w:val="18"/>
        </w:rPr>
        <w:t>thu</w:t>
      </w:r>
      <w:proofErr w:type="gramEnd"/>
      <w:r w:rsidRPr="00375088">
        <w:rPr>
          <w:rFonts w:ascii="Arial" w:eastAsia="Times New Roman" w:hAnsi="Arial" w:cs="Arial"/>
          <w:color w:val="000000"/>
          <w:sz w:val="18"/>
          <w:szCs w:val="18"/>
        </w:rPr>
        <w:t xml:space="preserve"> nhập cá nhân đối với hộ gia đình, cá nhân trực tiếp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8. Miễn thuế thu nhập doanh nghiệp đối với thu nhập từ hoạt động khai thác hải sản, thu nhập từ dịch vụ hậu cần phục vụ trực tiếp cho hoạt động khai thác hải sản xa bờ; thu nhập từ đóng mới, nâng cấp tàu cá có tổng công suất máy chính từ 400CV trở lên để phục vụ hoạt động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9. Miễn thuế nhập khẩu đối với máy móc, thiết bị, nguyên liệu, linh kiện nhập khẩu trong nước chưa sản xuất được để đóng mới, nâng cấp tàu có tổng công suất máy chính từ 400CV trở lên.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7" w:name="dieu_7"/>
      <w:r w:rsidRPr="00375088">
        <w:rPr>
          <w:rFonts w:ascii="Arial" w:eastAsia="Times New Roman" w:hAnsi="Arial" w:cs="Arial"/>
          <w:b/>
          <w:bCs/>
          <w:color w:val="000000"/>
          <w:sz w:val="18"/>
          <w:szCs w:val="18"/>
          <w:shd w:val="clear" w:color="auto" w:fill="FFFF96"/>
        </w:rPr>
        <w:t>Điều 7. Một số chính sách khác</w:t>
      </w:r>
      <w:bookmarkEnd w:id="17"/>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8" w:name="khoan_6"/>
      <w:r w:rsidRPr="00375088">
        <w:rPr>
          <w:rFonts w:ascii="Arial" w:eastAsia="Times New Roman" w:hAnsi="Arial" w:cs="Arial"/>
          <w:color w:val="000000"/>
          <w:sz w:val="18"/>
          <w:szCs w:val="18"/>
          <w:shd w:val="clear" w:color="auto" w:fill="FFFF96"/>
        </w:rPr>
        <w:t xml:space="preserve">1. Hỗ trợ 100% chi phí đào tạo hướng dẫn thuyền viên vận hành tàu vỏ thép, tàu vỏ vật liệu mới; hướng dẫn kỹ thuật khai thác, bảo quản sản phẩm </w:t>
      </w:r>
      <w:proofErr w:type="gramStart"/>
      <w:r w:rsidRPr="00375088">
        <w:rPr>
          <w:rFonts w:ascii="Arial" w:eastAsia="Times New Roman" w:hAnsi="Arial" w:cs="Arial"/>
          <w:color w:val="000000"/>
          <w:sz w:val="18"/>
          <w:szCs w:val="18"/>
          <w:shd w:val="clear" w:color="auto" w:fill="FFFF96"/>
        </w:rPr>
        <w:t>theo</w:t>
      </w:r>
      <w:proofErr w:type="gramEnd"/>
      <w:r w:rsidRPr="00375088">
        <w:rPr>
          <w:rFonts w:ascii="Arial" w:eastAsia="Times New Roman" w:hAnsi="Arial" w:cs="Arial"/>
          <w:color w:val="000000"/>
          <w:sz w:val="18"/>
          <w:szCs w:val="18"/>
          <w:shd w:val="clear" w:color="auto" w:fill="FFFF96"/>
        </w:rPr>
        <w:t xml:space="preserve"> công nghệ mới đối với tàu có tổng công suất máy chính từ 400CV trở lên.</w:t>
      </w:r>
      <w:bookmarkEnd w:id="18"/>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19" w:name="khoan_7"/>
      <w:r w:rsidRPr="00375088">
        <w:rPr>
          <w:rFonts w:ascii="Arial" w:eastAsia="Times New Roman" w:hAnsi="Arial" w:cs="Arial"/>
          <w:color w:val="000000"/>
          <w:sz w:val="18"/>
          <w:szCs w:val="18"/>
          <w:shd w:val="clear" w:color="auto" w:fill="FFFF96"/>
        </w:rPr>
        <w:t>2. Hỗ trợ chi phí vận chuyển hàng hóa từ đất liền ra tàu khai thác hải sản xa bờ và vận chuyển sản phẩm hải sản khai thác xa bờ về đất liền cho các tàu dịch vụ hậu cần khai thác hải sản xa bờ có tổng công suất máy chính từ 400CV trở lên.</w:t>
      </w:r>
      <w:bookmarkEnd w:id="19"/>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Mức hỗ trợ 40 triệu đồng/chuyến biển đối với tàu có tổng công suất máy chính từ 400CV đến 800CV; từ 60 triệu đồng/chuyến biển đối với tàu có tổng công suất máy chính từ 800CV trở lên; hỗ trợ tối đa 10 chuyến biển/năm.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b) Điều kiện hỗ trợ:</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Tàu dịch vụ hậu cần khai thác hải sản xa bờ là thành viên của tổ đội, hợp tác xã, doanh nghiệp khai thác hải sản;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Đăng ký tàu dịch vụ khai thác hải sản thường xuyên hoạt động dịch vụ hậu cần khai thác hải sản xa bờ với cơ quan quản lý nhà nước về thủy sản tại địa phương nơi đăng ký hoặc nơi cư trú;</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Có xác nhận tàu hoạt động dịch vụ hậu cần khai thác hải sản xa bờ của đơn vị bộ đội đóng trên đảo gần ngư trường khai thác hải sản hoặc xác nhận vị trí hoạt động của tàu dịch vụ khai thác hải sản bằng hệ thống giám sát định vị vệ tinh (GPS) của cơ quan chức năng;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Có xác nhận của chủ tàu khai thác hải sản xa bờ (số hiệu tàu, tên người mua, số lượng từng loại hàng hóa mua);</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Ghi và nộp nhật ký tàu dịch vụ từng chuyến biển cho cơ quan quản lý nhà nước về khai thác thủy sản tại địa phương nơi đăng ký hoặc cư trú.</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0" w:name="khoan_8"/>
      <w:r w:rsidRPr="00375088">
        <w:rPr>
          <w:rFonts w:ascii="Arial" w:eastAsia="Times New Roman" w:hAnsi="Arial" w:cs="Arial"/>
          <w:color w:val="000000"/>
          <w:sz w:val="18"/>
          <w:szCs w:val="18"/>
          <w:shd w:val="clear" w:color="auto" w:fill="FFFF96"/>
        </w:rPr>
        <w:t>3. Hỗ trợ 100% chi phí các thiết kế mẫu tàu vỏ thép khai thác hải sản, tàu dịch vụ hậu cần khai thác hải sản xa bờ đối với tàu có tổng công suất máy chính từ 400CV trở lên.</w:t>
      </w:r>
      <w:bookmarkEnd w:id="20"/>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1" w:name="khoan_2"/>
      <w:r w:rsidRPr="00375088">
        <w:rPr>
          <w:rFonts w:ascii="Arial" w:eastAsia="Times New Roman" w:hAnsi="Arial" w:cs="Arial"/>
          <w:color w:val="000000"/>
          <w:sz w:val="18"/>
          <w:szCs w:val="18"/>
          <w:shd w:val="clear" w:color="auto" w:fill="FFFF96"/>
        </w:rPr>
        <w:t>4. Hỗ trợ 100% chi phí duy tu, sửa chữa định kỳ nhưng không quá 1% giá trị đóng mới tàu vỏ thép có tổng công suất máy chính từ 400CV trở lên theo định mức kinh tế kỹ thuật duy tu, sửa chữa định kỳ do Bộ Nông nghiệp và Phát triển nông thôn hướng dẫn.</w:t>
      </w:r>
      <w:bookmarkEnd w:id="21"/>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2" w:name="dieu_8"/>
      <w:r w:rsidRPr="00375088">
        <w:rPr>
          <w:rFonts w:ascii="Arial" w:eastAsia="Times New Roman" w:hAnsi="Arial" w:cs="Arial"/>
          <w:b/>
          <w:bCs/>
          <w:color w:val="000000"/>
          <w:sz w:val="18"/>
          <w:szCs w:val="18"/>
          <w:shd w:val="clear" w:color="auto" w:fill="FFFF96"/>
        </w:rPr>
        <w:t>Điều 8. Nguồn vốn và cơ chế thực hiện chính sách</w:t>
      </w:r>
      <w:bookmarkEnd w:id="22"/>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3" w:name="khoan_4"/>
      <w:r w:rsidRPr="00375088">
        <w:rPr>
          <w:rFonts w:ascii="Arial" w:eastAsia="Times New Roman" w:hAnsi="Arial" w:cs="Arial"/>
          <w:color w:val="000000"/>
          <w:sz w:val="18"/>
          <w:szCs w:val="18"/>
          <w:shd w:val="clear" w:color="auto" w:fill="FFFF96"/>
        </w:rPr>
        <w:t>1. Ngân sách trung ương thực hiện cấp bù lãi suất cho các ngân hàng thương mại cho vay để đóng mới, nâng cấp tàu khai thác và tàu dịch vụ hậu cần khai thác hải sản xa bờ; đảm bảo kinh phí thiết kế mẫu tàu; hỗ trợ 100% kinh phí đào tạo hướng dẫn thuyền viên vận hành tàu vỏ thép, vỏ vật liệu mới hướng dẫn kỹ thuật khai thác, bảo quản theo công nghệ mới cho các địa phương đối với tàu có tổng công suất máy chính từ 400CV trở lên.</w:t>
      </w:r>
      <w:bookmarkEnd w:id="23"/>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Đối với chi phí duy tu, sửa chữa định kỳ; chi phí vận chuyển hàng hóa từ đất liền ra tàu khai thác hải sản xa bờ và vận chuyển sản phẩm hải sản khai thác xa bờ về đất liền cho các tàu dịch vụ hậu cần khai thác hải sản xa bờ có tổng công suất máy chính từ 400CV trở lên và chính sách bảo hiểm: Ngân sách trung ương hỗ trợ 100% kinh phí đối với các địa phương chưa tự cân đối được ngân sách và tỉnh Quảng Ngãi; ngân sách trung ương hỗ trợ 50% kinh phí đối với các địa phương có tỷ lệ điều tiết các khoản thu phân chia về ngân sách trung ương dưới 50%; các địa phương còn lại sử dụng ngân sách địa phương để thực hiện.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4" w:name="chuong_3"/>
      <w:r w:rsidRPr="00375088">
        <w:rPr>
          <w:rFonts w:ascii="Arial" w:eastAsia="Times New Roman" w:hAnsi="Arial" w:cs="Arial"/>
          <w:b/>
          <w:bCs/>
          <w:color w:val="000000"/>
          <w:sz w:val="18"/>
          <w:szCs w:val="18"/>
          <w:shd w:val="clear" w:color="auto" w:fill="FFFF96"/>
        </w:rPr>
        <w:t>Chương III</w:t>
      </w:r>
      <w:bookmarkEnd w:id="24"/>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5" w:name="chuong_3_name"/>
      <w:r w:rsidRPr="00375088">
        <w:rPr>
          <w:rFonts w:ascii="Arial" w:eastAsia="Times New Roman" w:hAnsi="Arial" w:cs="Arial"/>
          <w:b/>
          <w:bCs/>
          <w:color w:val="000000"/>
          <w:szCs w:val="24"/>
        </w:rPr>
        <w:t>TỔ CHỨC THỰC HIỆN</w:t>
      </w:r>
      <w:bookmarkEnd w:id="25"/>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6" w:name="dieu_9"/>
      <w:r w:rsidRPr="00375088">
        <w:rPr>
          <w:rFonts w:ascii="Arial" w:eastAsia="Times New Roman" w:hAnsi="Arial" w:cs="Arial"/>
          <w:b/>
          <w:bCs/>
          <w:color w:val="000000"/>
          <w:sz w:val="18"/>
          <w:szCs w:val="18"/>
          <w:shd w:val="clear" w:color="auto" w:fill="FFFF96"/>
        </w:rPr>
        <w:t>Điều 9. Trách nhiệm của các Bộ, ngành</w:t>
      </w:r>
      <w:bookmarkEnd w:id="26"/>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Bộ Nông nghiệp và Phát triển nông thôn: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7" w:name="diem_1_9"/>
      <w:r w:rsidRPr="00375088">
        <w:rPr>
          <w:rFonts w:ascii="Arial" w:eastAsia="Times New Roman" w:hAnsi="Arial" w:cs="Arial"/>
          <w:color w:val="000000"/>
          <w:sz w:val="18"/>
          <w:szCs w:val="18"/>
          <w:shd w:val="clear" w:color="auto" w:fill="FFFF96"/>
        </w:rPr>
        <w:t xml:space="preserve">a) Nghiên cứu, điều tra nguồn lợi thủy sản, dự báo </w:t>
      </w:r>
      <w:proofErr w:type="gramStart"/>
      <w:r w:rsidRPr="00375088">
        <w:rPr>
          <w:rFonts w:ascii="Arial" w:eastAsia="Times New Roman" w:hAnsi="Arial" w:cs="Arial"/>
          <w:color w:val="000000"/>
          <w:sz w:val="18"/>
          <w:szCs w:val="18"/>
          <w:shd w:val="clear" w:color="auto" w:fill="FFFF96"/>
        </w:rPr>
        <w:t>ngư</w:t>
      </w:r>
      <w:proofErr w:type="gramEnd"/>
      <w:r w:rsidRPr="00375088">
        <w:rPr>
          <w:rFonts w:ascii="Arial" w:eastAsia="Times New Roman" w:hAnsi="Arial" w:cs="Arial"/>
          <w:color w:val="000000"/>
          <w:sz w:val="18"/>
          <w:szCs w:val="18"/>
          <w:shd w:val="clear" w:color="auto" w:fill="FFFF96"/>
        </w:rPr>
        <w:t xml:space="preserve"> trường và quy hoạch phát triển tàu cá gắn với nguồn lợi thủy sản, nhóm nghề và ngư trường đồng thời thông báo quy hoạch để các địa phương thực hiện.</w:t>
      </w:r>
      <w:bookmarkEnd w:id="27"/>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8" w:name="khoan_3"/>
      <w:r w:rsidRPr="00375088">
        <w:rPr>
          <w:rFonts w:ascii="Arial" w:eastAsia="Times New Roman" w:hAnsi="Arial" w:cs="Arial"/>
          <w:color w:val="000000"/>
          <w:sz w:val="18"/>
          <w:szCs w:val="18"/>
          <w:shd w:val="clear" w:color="auto" w:fill="FFFF96"/>
        </w:rPr>
        <w:t xml:space="preserve">b) Quy định yêu cầu kỹ thuật đối với thiết kế mẫu tàu; lựa chọn đơn vị có đủ năng lực thiết kế, đặt hàng thiết kế mẫu một số mẫu tàu vỏ thép, khai thác hải sản, tàu dịch vụ hậu cần khai thác hải sản xa bờ; phê duyệt và công </w:t>
      </w:r>
      <w:r w:rsidRPr="00375088">
        <w:rPr>
          <w:rFonts w:ascii="Arial" w:eastAsia="Times New Roman" w:hAnsi="Arial" w:cs="Arial"/>
          <w:color w:val="000000"/>
          <w:sz w:val="18"/>
          <w:szCs w:val="18"/>
          <w:shd w:val="clear" w:color="auto" w:fill="FFFF96"/>
        </w:rPr>
        <w:lastRenderedPageBreak/>
        <w:t>bố các thiết kế mẫu tàu đã được lựa chọn; quy định về định mức kinh tế kỹ thuật duy tu sửa chữa định kỳ đối với tàu vỏ thép và hướng dẫn tổ chức thực hiện duy tu, sửa chữa định kỳ.</w:t>
      </w:r>
      <w:bookmarkEnd w:id="28"/>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 Chịu trách nhiệm chủ trì, phối hợp với Bộ Tài chính, Bộ Kế hoạch và Đầu tư, các Bộ, ngành và địa phương liên quan kiểm tra, giám sát việc thực hiện các quy định nêu tại Nghị định này, đề xuất biện pháp xử lý và tháo gỡ các khó khăn, vướng mắc phát sinh trong quá trình thực hiện, báo cáo Thủ tướng Chính phủ những vấn đề vượt thẩm quyền.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d) Chủ trì, phối hợp các Bộ: Kế hoạch và Đầu tư, Tài chính xác định các dự </w:t>
      </w:r>
      <w:proofErr w:type="gramStart"/>
      <w:r w:rsidRPr="00375088">
        <w:rPr>
          <w:rFonts w:ascii="Arial" w:eastAsia="Times New Roman" w:hAnsi="Arial" w:cs="Arial"/>
          <w:color w:val="000000"/>
          <w:sz w:val="18"/>
          <w:szCs w:val="18"/>
        </w:rPr>
        <w:t>án</w:t>
      </w:r>
      <w:proofErr w:type="gramEnd"/>
      <w:r w:rsidRPr="00375088">
        <w:rPr>
          <w:rFonts w:ascii="Arial" w:eastAsia="Times New Roman" w:hAnsi="Arial" w:cs="Arial"/>
          <w:color w:val="000000"/>
          <w:sz w:val="18"/>
          <w:szCs w:val="18"/>
        </w:rPr>
        <w:t xml:space="preserve"> ưu tiên đầu tư trong năm kế hoạch thuộc nhiệm vụ Bộ Nông nghiệp và Phát triển nông thôn.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đ) Chủ trì tổ chức thực hiện Nghị định này gắn với việc tổ chức lại sản xuất đối với ngành thủy sản để phát triển bền vững, hiệu quả.</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e) Chỉ đạo, hướng dẫn các địa phương thực hiện, định kỳ sơ kết; chủ trì, phối hợp với các Bộ, Ủy ban nhân dân các tỉnh, thành phố trực thuộc Trung ương có liên quan tổng kết thực hiện Nghị định này vào quý IV năm 2016 báo cáo Chính phủ.</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Bộ Kế hoạch và Đầu tư:</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Chủ trì, phối hợp với các Bộ: Tài chính, Nông nghiệp và Phát triển nông thôn tổng hợp nhu cầu, cân đối, bố trí vốn đầu tư phát triển theo kế hoạch 5 năm và hàng năm để thực hiện các chương trình, dự án đầu tư, bảo đảm tập trung hoàn thành dứt điểm từng công trình.</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3. Bộ Tài chính:</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a) Bố trí ngân sách thực hiện các chính sách quy định tại Nghị định này.</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29" w:name="khoan_5"/>
      <w:r w:rsidRPr="00375088">
        <w:rPr>
          <w:rFonts w:ascii="Arial" w:eastAsia="Times New Roman" w:hAnsi="Arial" w:cs="Arial"/>
          <w:color w:val="000000"/>
          <w:sz w:val="18"/>
          <w:szCs w:val="18"/>
          <w:shd w:val="clear" w:color="auto" w:fill="FFFF96"/>
        </w:rPr>
        <w:t>b) Hướng dẫn cơ chế cấp bù lãi suất thực hiện chính sách tín dụng quy định tại Điều 4 Nghị định này.</w:t>
      </w:r>
      <w:bookmarkEnd w:id="29"/>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c) Hướng dẫn tổ chức thực hiện chính sách bảo hiểm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tại Điều 5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4. Ngân hàng Nhà nước Việt Nam:</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a) Chỉ đạo các ngân hàng thương mại Nhà nước nắm cổ phần chi phối bố trí nguồn vốn và thực hiện cho vay phục vụ phát triển thủy sản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tại Nghị định này.</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0" w:name="diem_4_9_2"/>
      <w:r w:rsidRPr="00375088">
        <w:rPr>
          <w:rFonts w:ascii="Arial" w:eastAsia="Times New Roman" w:hAnsi="Arial" w:cs="Arial"/>
          <w:color w:val="000000"/>
          <w:sz w:val="18"/>
          <w:szCs w:val="18"/>
          <w:shd w:val="clear" w:color="auto" w:fill="FFFF96"/>
        </w:rPr>
        <w:t>b) Chủ trì, phối hợp với các Bộ: Tài chính, Nông nghiệp và Phát triển nông thôn hướng dẫn cụ thể việc thực hiện chính sách tín dụng theo quy định tại Điều 4 Nghị định này đảm bảo trình tự, thủ tục đơn giản, nhanh gọn và an toàn về nguồn vốn vay của Nhà nước.</w:t>
      </w:r>
      <w:bookmarkEnd w:id="30"/>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 Đầu mối phối hợp với các Bộ, ngành, địa phương kiểm tra, giám sát việc thực hiện chính sách tín dụng, đề xuất biện pháp xử lý và tháo gỡ các khó khăn, vướng mắc phát sinh trong quá trình thực hiện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d) Trường hợp các ngân hàng thương mại gặp khó khăn về nguồn vốn cho vay để thực hiện các chính sách quy định tại Khoản 1 Điều 4 Nghị định này hoặc khi mặt bằng lãi suất cho vay tăng, Ngân hàng Nhà nước tái cấp vốn cho các ngân hàng thương mại theo Quyết định của Thủ tướng Chính phủ.</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5. Các Bộ, ngành khác có liên quan trong phạm </w:t>
      </w:r>
      <w:proofErr w:type="gramStart"/>
      <w:r w:rsidRPr="00375088">
        <w:rPr>
          <w:rFonts w:ascii="Arial" w:eastAsia="Times New Roman" w:hAnsi="Arial" w:cs="Arial"/>
          <w:color w:val="000000"/>
          <w:sz w:val="18"/>
          <w:szCs w:val="18"/>
        </w:rPr>
        <w:t>vi</w:t>
      </w:r>
      <w:proofErr w:type="gramEnd"/>
      <w:r w:rsidRPr="00375088">
        <w:rPr>
          <w:rFonts w:ascii="Arial" w:eastAsia="Times New Roman" w:hAnsi="Arial" w:cs="Arial"/>
          <w:color w:val="000000"/>
          <w:sz w:val="18"/>
          <w:szCs w:val="18"/>
        </w:rPr>
        <w:t xml:space="preserve"> chức năng, nhiệm vụ chỉ đạo, hướng dẫn thực hiện các chính sách phát triển thủy sản quy định tại Nghị định này.</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1" w:name="dieu_10"/>
      <w:r w:rsidRPr="00375088">
        <w:rPr>
          <w:rFonts w:ascii="Arial" w:eastAsia="Times New Roman" w:hAnsi="Arial" w:cs="Arial"/>
          <w:b/>
          <w:bCs/>
          <w:color w:val="000000"/>
          <w:sz w:val="18"/>
          <w:szCs w:val="18"/>
          <w:shd w:val="clear" w:color="auto" w:fill="FFFF96"/>
        </w:rPr>
        <w:t>Điều 10. Trách nhiệm của Ủy ban nhân dân tỉnh, thành phố trực thuộc Trung ương</w:t>
      </w:r>
      <w:bookmarkEnd w:id="31"/>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Tổ chức triển khai thực hiện các chính sách quy định tại Nghị định này tại địa phương.</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Giao cho Ủy ban nhân dân cấp xã xác nhận đối tượng được vay vốn theo quy định tại Điểm b Khoản 1 và Điểm b Khoản 3 Điều 4; đối tượng được hỗ trợ bảo hiểm theo quy định tại Điều 5; đối tượng được hỗ trợ theo quy định tại Điều 7 Nghị định này gửi Ủy ban nhân dân cấp huyện thẩm định báo cáo Ủy ban nhân dân cấp tỉnh phê duyệt làm cơ sở thực hiện.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3. Hướng dẫn giá bán (nhiên liệu; xăng dầu, đá bảo quản hải sản; vật tư sửa chữa nhỏ, tàu thuyền </w:t>
      </w:r>
      <w:proofErr w:type="gramStart"/>
      <w:r w:rsidRPr="00375088">
        <w:rPr>
          <w:rFonts w:ascii="Arial" w:eastAsia="Times New Roman" w:hAnsi="Arial" w:cs="Arial"/>
          <w:color w:val="000000"/>
          <w:sz w:val="18"/>
          <w:szCs w:val="18"/>
        </w:rPr>
        <w:t>ngư</w:t>
      </w:r>
      <w:proofErr w:type="gramEnd"/>
      <w:r w:rsidRPr="00375088">
        <w:rPr>
          <w:rFonts w:ascii="Arial" w:eastAsia="Times New Roman" w:hAnsi="Arial" w:cs="Arial"/>
          <w:color w:val="000000"/>
          <w:sz w:val="18"/>
          <w:szCs w:val="18"/>
        </w:rPr>
        <w:t xml:space="preserve"> lưới cụ, nước ngọt, lương thực, thực phẩm thiết yếu) của tàu dịch vụ hậu cần khai thác hải sản xa bờ cho tàu khai thác hải sản xa bờ theo giá bán lẻ ở đất liền.</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4. Bố trí ngân sách địa phương để hỗ trợ </w:t>
      </w:r>
      <w:proofErr w:type="gramStart"/>
      <w:r w:rsidRPr="00375088">
        <w:rPr>
          <w:rFonts w:ascii="Arial" w:eastAsia="Times New Roman" w:hAnsi="Arial" w:cs="Arial"/>
          <w:color w:val="000000"/>
          <w:sz w:val="18"/>
          <w:szCs w:val="18"/>
        </w:rPr>
        <w:t>ngư</w:t>
      </w:r>
      <w:proofErr w:type="gramEnd"/>
      <w:r w:rsidRPr="00375088">
        <w:rPr>
          <w:rFonts w:ascii="Arial" w:eastAsia="Times New Roman" w:hAnsi="Arial" w:cs="Arial"/>
          <w:color w:val="000000"/>
          <w:sz w:val="18"/>
          <w:szCs w:val="18"/>
        </w:rPr>
        <w:t xml:space="preserve"> dân và đầu tư cơ sở hạ tầng phục vụ phát triển thủy sản theo quy định tại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5. Căn cứ yêu cầu và khả năng thực tế của địa phương được bố trí kinh phí và ban hành bổ sung, nâng mức hỗ trợ những chính sách để phát triển sản xuất kinh doanh thủy sản trên địa bàn ngoài những chính sách được quy định tại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6. Căn cứ điều kiện của địa phương có thể thành lập Ban Chỉ đạo thực hiện các chính sách phát triển thủy sản quy định tại Nghị định này cho phù hợp; lựa chọn đối tượng làm thí điểm thực hiện chính sách quy định tại Nghị định này và nhân rộng trên địa bàn.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2" w:name="dieu_11"/>
      <w:r w:rsidRPr="00375088">
        <w:rPr>
          <w:rFonts w:ascii="Arial" w:eastAsia="Times New Roman" w:hAnsi="Arial" w:cs="Arial"/>
          <w:b/>
          <w:bCs/>
          <w:color w:val="000000"/>
          <w:sz w:val="18"/>
          <w:szCs w:val="18"/>
        </w:rPr>
        <w:t>Điều 11. Trách nhiệm của các Hội, Hiệp hội thủy sản</w:t>
      </w:r>
      <w:bookmarkEnd w:id="32"/>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lastRenderedPageBreak/>
        <w:t xml:space="preserve">1. Phối hợp với chính quyền địa phương tổ chức thực hiện các chính sách hỗ trợ </w:t>
      </w:r>
      <w:proofErr w:type="gramStart"/>
      <w:r w:rsidRPr="00375088">
        <w:rPr>
          <w:rFonts w:ascii="Arial" w:eastAsia="Times New Roman" w:hAnsi="Arial" w:cs="Arial"/>
          <w:color w:val="000000"/>
          <w:sz w:val="18"/>
          <w:szCs w:val="18"/>
        </w:rPr>
        <w:t>ngư</w:t>
      </w:r>
      <w:proofErr w:type="gramEnd"/>
      <w:r w:rsidRPr="00375088">
        <w:rPr>
          <w:rFonts w:ascii="Arial" w:eastAsia="Times New Roman" w:hAnsi="Arial" w:cs="Arial"/>
          <w:color w:val="000000"/>
          <w:sz w:val="18"/>
          <w:szCs w:val="18"/>
        </w:rPr>
        <w:t xml:space="preserve"> dân đảm bảo đúng đối tượng, đúng chính sách theo quy định tại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Hướng dẫn, vận động hội viên tuân thủ quy định pháp luật về thực hiện các chính sách phát triển thủy sản.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3" w:name="dieu_12"/>
      <w:r w:rsidRPr="00375088">
        <w:rPr>
          <w:rFonts w:ascii="Arial" w:eastAsia="Times New Roman" w:hAnsi="Arial" w:cs="Arial"/>
          <w:b/>
          <w:bCs/>
          <w:color w:val="000000"/>
          <w:sz w:val="18"/>
          <w:szCs w:val="18"/>
        </w:rPr>
        <w:t>Điều 12. Quyền hạn và trách nhiệm của chủ tàu</w:t>
      </w:r>
      <w:bookmarkEnd w:id="33"/>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1. Được hưởng các chính sách ưu đãi của Nhà nước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quy định của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Tự quyết định việc vay vốn, lựa chọn mẫu tàu, máy móc trang thiết bị, ngư lưới cụ, cơ sở đóng tàu để đầu tư đóng mới, nâng cấp tàu khai thác hải sản và tàu dịch vụ hậu cần khai thác hải sản xa bờ.</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3. Hoàn trả vốn vay và lãi vay để đóng mới tàu khai thác hải sản và tàu dịch vụ hậu cần khai thác hải sản xa bờ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đúng quy định của pháp luật.</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4. Quyết định mức và thời hạn vay thấp hơn quy định tại Điều 4 Nghị định này và được quyền trả nợ trước hạn.</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4" w:name="chuong_4"/>
      <w:r w:rsidRPr="00375088">
        <w:rPr>
          <w:rFonts w:ascii="Arial" w:eastAsia="Times New Roman" w:hAnsi="Arial" w:cs="Arial"/>
          <w:b/>
          <w:bCs/>
          <w:color w:val="000000"/>
          <w:sz w:val="18"/>
          <w:szCs w:val="18"/>
        </w:rPr>
        <w:t>Chương IV</w:t>
      </w:r>
      <w:bookmarkEnd w:id="34"/>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5" w:name="chuong_4_name"/>
      <w:r w:rsidRPr="00375088">
        <w:rPr>
          <w:rFonts w:ascii="Arial" w:eastAsia="Times New Roman" w:hAnsi="Arial" w:cs="Arial"/>
          <w:b/>
          <w:bCs/>
          <w:color w:val="000000"/>
          <w:szCs w:val="24"/>
        </w:rPr>
        <w:t>ĐIỀU KHOẢN THI HÀNH</w:t>
      </w:r>
      <w:bookmarkEnd w:id="35"/>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6" w:name="dieu_13"/>
      <w:r w:rsidRPr="00375088">
        <w:rPr>
          <w:rFonts w:ascii="Arial" w:eastAsia="Times New Roman" w:hAnsi="Arial" w:cs="Arial"/>
          <w:b/>
          <w:bCs/>
          <w:color w:val="000000"/>
          <w:sz w:val="18"/>
          <w:szCs w:val="18"/>
        </w:rPr>
        <w:t>Điều 13. Hiệu lực thi hành</w:t>
      </w:r>
      <w:bookmarkEnd w:id="36"/>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1. Nghị định này có hiệu lực thi hành kể từ ngày 25 tháng 8 năm 2014.</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2. Trong trường hợp một nội dung có nhiều chính sách hỗ trợ thì tổ chức, cá nhân thụ hưởng được lựa chọn một chính sách hỗ trợ cao nhất.</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xml:space="preserve">3. Các nội dung liên quan tại các quy định trước đây trái với Nghị định này hoặc mức ưu đãi của Nhà nước thấp hơn mức ưu đãi của Nghị định này thì thực hiện </w:t>
      </w:r>
      <w:proofErr w:type="gramStart"/>
      <w:r w:rsidRPr="00375088">
        <w:rPr>
          <w:rFonts w:ascii="Arial" w:eastAsia="Times New Roman" w:hAnsi="Arial" w:cs="Arial"/>
          <w:color w:val="000000"/>
          <w:sz w:val="18"/>
          <w:szCs w:val="18"/>
        </w:rPr>
        <w:t>theo</w:t>
      </w:r>
      <w:proofErr w:type="gramEnd"/>
      <w:r w:rsidRPr="00375088">
        <w:rPr>
          <w:rFonts w:ascii="Arial" w:eastAsia="Times New Roman" w:hAnsi="Arial" w:cs="Arial"/>
          <w:color w:val="000000"/>
          <w:sz w:val="18"/>
          <w:szCs w:val="18"/>
        </w:rPr>
        <w:t xml:space="preserve">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4. Thời gian thực hiện các chính sách quy định tại các Điều 4, 5, 7, 8 của Nghị định này đến hết năm 2016 và tổng kết rút kinh nghiệm triển khai trong giai đoạn tiếp theo.</w:t>
      </w:r>
    </w:p>
    <w:p w:rsidR="00375088" w:rsidRPr="00375088" w:rsidRDefault="00375088" w:rsidP="005756CB">
      <w:pPr>
        <w:shd w:val="clear" w:color="auto" w:fill="FFFFFF"/>
        <w:spacing w:after="0" w:line="234" w:lineRule="atLeast"/>
        <w:jc w:val="both"/>
        <w:rPr>
          <w:rFonts w:ascii="Arial" w:eastAsia="Times New Roman" w:hAnsi="Arial" w:cs="Arial"/>
          <w:color w:val="000000"/>
          <w:sz w:val="18"/>
          <w:szCs w:val="18"/>
        </w:rPr>
      </w:pPr>
      <w:bookmarkStart w:id="37" w:name="dieu_14"/>
      <w:r w:rsidRPr="00375088">
        <w:rPr>
          <w:rFonts w:ascii="Arial" w:eastAsia="Times New Roman" w:hAnsi="Arial" w:cs="Arial"/>
          <w:b/>
          <w:bCs/>
          <w:color w:val="000000"/>
          <w:sz w:val="18"/>
          <w:szCs w:val="18"/>
        </w:rPr>
        <w:t>Điều 14. Trách nhiệm hướng dẫn và thi hành</w:t>
      </w:r>
      <w:bookmarkEnd w:id="37"/>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Các Bộ trưởng, Thủ trưởng cơ quan ngang Bộ, Thủ trưởng cơ quan thuộc Chính phủ, Chủ tịch Ủy ban nhân dân các tỉnh, thành phố trực thuộc Trung ương, Chủ tịch các Hội, Hiệp hội ngành hàng thủy sản trong phạm vi chức năng, nhiệm vụ của mình có trách nhiệm hướng dẫn, thi hành Nghị định này.</w:t>
      </w:r>
    </w:p>
    <w:p w:rsidR="00375088" w:rsidRPr="00375088" w:rsidRDefault="00375088" w:rsidP="005756CB">
      <w:pPr>
        <w:shd w:val="clear" w:color="auto" w:fill="FFFFFF"/>
        <w:spacing w:before="120" w:after="0" w:line="234" w:lineRule="atLeast"/>
        <w:jc w:val="both"/>
        <w:rPr>
          <w:rFonts w:ascii="Arial" w:eastAsia="Times New Roman" w:hAnsi="Arial" w:cs="Arial"/>
          <w:color w:val="000000"/>
          <w:sz w:val="18"/>
          <w:szCs w:val="18"/>
        </w:rPr>
      </w:pPr>
      <w:r w:rsidRPr="00375088">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75088" w:rsidRPr="00375088" w:rsidTr="00375088">
        <w:trPr>
          <w:tblCellSpacing w:w="0" w:type="dxa"/>
        </w:trPr>
        <w:tc>
          <w:tcPr>
            <w:tcW w:w="4428" w:type="dxa"/>
            <w:tcMar>
              <w:top w:w="0" w:type="dxa"/>
              <w:left w:w="108" w:type="dxa"/>
              <w:bottom w:w="0" w:type="dxa"/>
              <w:right w:w="108" w:type="dxa"/>
            </w:tcMar>
            <w:hideMark/>
          </w:tcPr>
          <w:p w:rsidR="00375088" w:rsidRPr="00375088" w:rsidRDefault="00375088" w:rsidP="00375088">
            <w:pPr>
              <w:spacing w:before="120" w:after="0" w:line="234" w:lineRule="atLeast"/>
              <w:rPr>
                <w:rFonts w:eastAsia="Times New Roman"/>
                <w:szCs w:val="24"/>
              </w:rPr>
            </w:pPr>
            <w:r w:rsidRPr="00375088">
              <w:rPr>
                <w:rFonts w:eastAsia="Times New Roman"/>
                <w:szCs w:val="24"/>
              </w:rPr>
              <w:br/>
            </w:r>
            <w:r w:rsidRPr="00375088">
              <w:rPr>
                <w:rFonts w:eastAsia="Times New Roman"/>
                <w:b/>
                <w:bCs/>
                <w:i/>
                <w:iCs/>
                <w:szCs w:val="24"/>
              </w:rPr>
              <w:t>Nơi nhận:</w:t>
            </w:r>
            <w:r w:rsidRPr="00375088">
              <w:rPr>
                <w:rFonts w:eastAsia="Times New Roman"/>
                <w:b/>
                <w:bCs/>
                <w:i/>
                <w:iCs/>
                <w:szCs w:val="24"/>
              </w:rPr>
              <w:br/>
            </w:r>
            <w:r w:rsidRPr="00375088">
              <w:rPr>
                <w:rFonts w:eastAsia="Times New Roman"/>
                <w:sz w:val="16"/>
                <w:szCs w:val="16"/>
              </w:rPr>
              <w:t>- Ban Bí thư Trung ương Đảng;</w:t>
            </w:r>
            <w:r w:rsidRPr="00375088">
              <w:rPr>
                <w:rFonts w:eastAsia="Times New Roman"/>
                <w:sz w:val="16"/>
                <w:szCs w:val="16"/>
              </w:rPr>
              <w:br/>
              <w:t>- Thủ tướng, các Phó Thủ tướng Chính phủ;</w:t>
            </w:r>
            <w:r w:rsidRPr="00375088">
              <w:rPr>
                <w:rFonts w:eastAsia="Times New Roman"/>
                <w:sz w:val="16"/>
                <w:szCs w:val="16"/>
              </w:rPr>
              <w:br/>
              <w:t>- Các Bộ, cơ quan ngang Bộ, cơ quan thuộc CP;</w:t>
            </w:r>
            <w:r w:rsidRPr="00375088">
              <w:rPr>
                <w:rFonts w:eastAsia="Times New Roman"/>
                <w:sz w:val="16"/>
                <w:szCs w:val="16"/>
              </w:rPr>
              <w:br/>
              <w:t>- HĐND, UBND các tỉnh, thành phố trực thuộc TW;</w:t>
            </w:r>
            <w:r w:rsidRPr="00375088">
              <w:rPr>
                <w:rFonts w:eastAsia="Times New Roman"/>
                <w:sz w:val="16"/>
                <w:szCs w:val="16"/>
              </w:rPr>
              <w:br/>
              <w:t>- Văn phòng Trung ương và các Ban của Đảng;</w:t>
            </w:r>
            <w:r w:rsidRPr="00375088">
              <w:rPr>
                <w:rFonts w:eastAsia="Times New Roman"/>
                <w:sz w:val="16"/>
                <w:szCs w:val="16"/>
              </w:rPr>
              <w:br/>
              <w:t>- Văn phòng Tổng Bí thư;</w:t>
            </w:r>
            <w:r w:rsidRPr="00375088">
              <w:rPr>
                <w:rFonts w:eastAsia="Times New Roman"/>
                <w:sz w:val="16"/>
                <w:szCs w:val="16"/>
              </w:rPr>
              <w:br/>
              <w:t>- Văn phòng Chủ tịch nước;</w:t>
            </w:r>
            <w:r w:rsidRPr="00375088">
              <w:rPr>
                <w:rFonts w:eastAsia="Times New Roman"/>
                <w:sz w:val="16"/>
                <w:szCs w:val="16"/>
              </w:rPr>
              <w:br/>
              <w:t>- Hội đồng Dân tộc và các Ủy ban của Quốc hội;</w:t>
            </w:r>
            <w:r w:rsidRPr="00375088">
              <w:rPr>
                <w:rFonts w:eastAsia="Times New Roman"/>
                <w:sz w:val="16"/>
                <w:szCs w:val="16"/>
              </w:rPr>
              <w:br/>
              <w:t>- Văn phòng Quốc hội;</w:t>
            </w:r>
            <w:r w:rsidRPr="00375088">
              <w:rPr>
                <w:rFonts w:eastAsia="Times New Roman"/>
                <w:sz w:val="16"/>
                <w:szCs w:val="16"/>
              </w:rPr>
              <w:br/>
              <w:t>- Tòa án nhân dân tối cao;</w:t>
            </w:r>
            <w:r w:rsidRPr="00375088">
              <w:rPr>
                <w:rFonts w:eastAsia="Times New Roman"/>
                <w:sz w:val="16"/>
                <w:szCs w:val="16"/>
              </w:rPr>
              <w:br/>
              <w:t>- Viện Kiểm sát nhân dân tối cao;</w:t>
            </w:r>
            <w:r w:rsidRPr="00375088">
              <w:rPr>
                <w:rFonts w:eastAsia="Times New Roman"/>
                <w:sz w:val="16"/>
                <w:szCs w:val="16"/>
              </w:rPr>
              <w:br/>
              <w:t>- Ủy ban Giám sát tài chính Quốc gia;</w:t>
            </w:r>
            <w:r w:rsidRPr="00375088">
              <w:rPr>
                <w:rFonts w:eastAsia="Times New Roman"/>
                <w:sz w:val="16"/>
                <w:szCs w:val="16"/>
              </w:rPr>
              <w:br/>
              <w:t>- Kiểm toán Nhà nước;</w:t>
            </w:r>
            <w:r w:rsidRPr="00375088">
              <w:rPr>
                <w:rFonts w:eastAsia="Times New Roman"/>
                <w:sz w:val="16"/>
                <w:szCs w:val="16"/>
              </w:rPr>
              <w:br/>
              <w:t>- Ngân hàng Chính sách xã hội;</w:t>
            </w:r>
            <w:r w:rsidRPr="00375088">
              <w:rPr>
                <w:rFonts w:eastAsia="Times New Roman"/>
                <w:sz w:val="16"/>
                <w:szCs w:val="16"/>
              </w:rPr>
              <w:br/>
              <w:t>- Ngân hàng Phát triển Việt Nam;</w:t>
            </w:r>
            <w:r w:rsidRPr="00375088">
              <w:rPr>
                <w:rFonts w:eastAsia="Times New Roman"/>
                <w:sz w:val="16"/>
                <w:szCs w:val="16"/>
              </w:rPr>
              <w:br/>
              <w:t>- Ủy ban Trung ương Mặt trận Tổ quốc Việt Nam;</w:t>
            </w:r>
            <w:r w:rsidRPr="00375088">
              <w:rPr>
                <w:rFonts w:eastAsia="Times New Roman"/>
                <w:sz w:val="16"/>
                <w:szCs w:val="16"/>
              </w:rPr>
              <w:br/>
              <w:t>- Cơ quan Trung ương của các đoàn thể;</w:t>
            </w:r>
            <w:r w:rsidRPr="00375088">
              <w:rPr>
                <w:rFonts w:eastAsia="Times New Roman"/>
                <w:sz w:val="16"/>
                <w:szCs w:val="16"/>
              </w:rPr>
              <w:br/>
              <w:t>- VPCP: BTCN, các PCN, Trợ lý TTCP, TGĐ Cổng TTĐT, các Vụ, Cục, đơn vị trực thuộc, Công báo;</w:t>
            </w:r>
            <w:r w:rsidRPr="00375088">
              <w:rPr>
                <w:rFonts w:eastAsia="Times New Roman"/>
                <w:sz w:val="16"/>
                <w:szCs w:val="16"/>
              </w:rPr>
              <w:br/>
              <w:t>- Lưu: Văn thư, KTN (3b).</w:t>
            </w:r>
          </w:p>
        </w:tc>
        <w:tc>
          <w:tcPr>
            <w:tcW w:w="4428" w:type="dxa"/>
            <w:tcMar>
              <w:top w:w="0" w:type="dxa"/>
              <w:left w:w="108" w:type="dxa"/>
              <w:bottom w:w="0" w:type="dxa"/>
              <w:right w:w="108" w:type="dxa"/>
            </w:tcMar>
            <w:hideMark/>
          </w:tcPr>
          <w:p w:rsidR="00375088" w:rsidRPr="00375088" w:rsidRDefault="00375088" w:rsidP="00375088">
            <w:pPr>
              <w:spacing w:before="120" w:after="0" w:line="234" w:lineRule="atLeast"/>
              <w:jc w:val="center"/>
              <w:rPr>
                <w:rFonts w:eastAsia="Times New Roman"/>
                <w:szCs w:val="24"/>
              </w:rPr>
            </w:pPr>
            <w:r w:rsidRPr="00375088">
              <w:rPr>
                <w:rFonts w:eastAsia="Times New Roman"/>
                <w:b/>
                <w:bCs/>
                <w:szCs w:val="24"/>
              </w:rPr>
              <w:t>TM. CHÍNH PHỦ</w:t>
            </w:r>
            <w:r w:rsidRPr="00375088">
              <w:rPr>
                <w:rFonts w:eastAsia="Times New Roman"/>
                <w:b/>
                <w:bCs/>
                <w:szCs w:val="24"/>
              </w:rPr>
              <w:br/>
              <w:t>THỦ TƯỚNG</w:t>
            </w:r>
            <w:r w:rsidRPr="00375088">
              <w:rPr>
                <w:rFonts w:eastAsia="Times New Roman"/>
                <w:b/>
                <w:bCs/>
                <w:szCs w:val="24"/>
              </w:rPr>
              <w:br/>
            </w:r>
            <w:r w:rsidRPr="00375088">
              <w:rPr>
                <w:rFonts w:eastAsia="Times New Roman"/>
                <w:b/>
                <w:bCs/>
                <w:szCs w:val="24"/>
              </w:rPr>
              <w:br/>
            </w:r>
            <w:r w:rsidRPr="00375088">
              <w:rPr>
                <w:rFonts w:eastAsia="Times New Roman"/>
                <w:b/>
                <w:bCs/>
                <w:szCs w:val="24"/>
              </w:rPr>
              <w:br/>
            </w:r>
            <w:r w:rsidRPr="00375088">
              <w:rPr>
                <w:rFonts w:eastAsia="Times New Roman"/>
                <w:b/>
                <w:bCs/>
                <w:szCs w:val="24"/>
              </w:rPr>
              <w:br/>
            </w:r>
            <w:r w:rsidRPr="00375088">
              <w:rPr>
                <w:rFonts w:eastAsia="Times New Roman"/>
                <w:b/>
                <w:bCs/>
                <w:szCs w:val="24"/>
              </w:rPr>
              <w:br/>
              <w:t>Nguyễn Tấn Dũng</w:t>
            </w:r>
          </w:p>
        </w:tc>
      </w:tr>
    </w:tbl>
    <w:p w:rsidR="00375088" w:rsidRPr="00375088" w:rsidRDefault="00375088" w:rsidP="00375088">
      <w:pPr>
        <w:shd w:val="clear" w:color="auto" w:fill="FFFFFF"/>
        <w:spacing w:before="120" w:after="0" w:line="234" w:lineRule="atLeast"/>
        <w:rPr>
          <w:rFonts w:ascii="Arial" w:eastAsia="Times New Roman" w:hAnsi="Arial" w:cs="Arial"/>
          <w:color w:val="000000"/>
          <w:sz w:val="18"/>
          <w:szCs w:val="18"/>
        </w:rPr>
      </w:pPr>
      <w:r w:rsidRPr="00375088">
        <w:rPr>
          <w:rFonts w:ascii="Arial" w:eastAsia="Times New Roman" w:hAnsi="Arial" w:cs="Arial"/>
          <w:noProof/>
          <w:color w:val="000000"/>
          <w:sz w:val="18"/>
          <w:szCs w:val="18"/>
        </w:rPr>
        <mc:AlternateContent>
          <mc:Choice Requires="wps">
            <w:drawing>
              <wp:inline distT="0" distB="0" distL="0" distR="0" wp14:anchorId="463EFE9B" wp14:editId="79BA54E6">
                <wp:extent cx="304800" cy="304800"/>
                <wp:effectExtent l="0" t="0" r="0" b="0"/>
                <wp:docPr id="1" name="Rectangle 1" descr="http://thuvienphapluat.vn/Images/ne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97F78" id="Rectangle 1" o:spid="_x0000_s1026" alt="http://thuvienphapluat.vn/Images/new.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Cey8W1gIAAOg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1D2CB9" w:rsidRDefault="001D2CB9">
      <w:bookmarkStart w:id="38" w:name="_GoBack"/>
      <w:bookmarkEnd w:id="38"/>
    </w:p>
    <w:sectPr w:rsidR="001D2CB9" w:rsidSect="003A1887">
      <w:pgSz w:w="11907" w:h="16840" w:code="9"/>
      <w:pgMar w:top="1418" w:right="1440" w:bottom="567" w:left="1440" w:header="397"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B4ACE"/>
    <w:multiLevelType w:val="multilevel"/>
    <w:tmpl w:val="063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88"/>
    <w:rsid w:val="001D2CB9"/>
    <w:rsid w:val="00375088"/>
    <w:rsid w:val="003A1887"/>
    <w:rsid w:val="005756CB"/>
    <w:rsid w:val="00EA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A3ED3-5839-47FE-84DC-EBD9BBB4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08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375088"/>
    <w:rPr>
      <w:color w:val="0000FF"/>
      <w:u w:val="single"/>
    </w:rPr>
  </w:style>
  <w:style w:type="character" w:customStyle="1" w:styleId="apple-converted-space">
    <w:name w:val="apple-converted-space"/>
    <w:basedOn w:val="DefaultParagraphFont"/>
    <w:rsid w:val="0037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4317">
      <w:bodyDiv w:val="1"/>
      <w:marLeft w:val="0"/>
      <w:marRight w:val="0"/>
      <w:marTop w:val="0"/>
      <w:marBottom w:val="0"/>
      <w:divBdr>
        <w:top w:val="none" w:sz="0" w:space="0" w:color="auto"/>
        <w:left w:val="none" w:sz="0" w:space="0" w:color="auto"/>
        <w:bottom w:val="none" w:sz="0" w:space="0" w:color="auto"/>
        <w:right w:val="none" w:sz="0" w:space="0" w:color="auto"/>
      </w:divBdr>
      <w:divsChild>
        <w:div w:id="1557811143">
          <w:marLeft w:val="0"/>
          <w:marRight w:val="0"/>
          <w:marTop w:val="0"/>
          <w:marBottom w:val="0"/>
          <w:divBdr>
            <w:top w:val="none" w:sz="0" w:space="0" w:color="auto"/>
            <w:left w:val="none" w:sz="0" w:space="0" w:color="auto"/>
            <w:bottom w:val="none" w:sz="0" w:space="0" w:color="auto"/>
            <w:right w:val="none" w:sz="0" w:space="0" w:color="auto"/>
          </w:divBdr>
          <w:divsChild>
            <w:div w:id="1167481995">
              <w:marLeft w:val="0"/>
              <w:marRight w:val="0"/>
              <w:marTop w:val="0"/>
              <w:marBottom w:val="0"/>
              <w:divBdr>
                <w:top w:val="single" w:sz="12" w:space="0" w:color="F89B1A"/>
                <w:left w:val="single" w:sz="6" w:space="0" w:color="C8D4DB"/>
                <w:bottom w:val="none" w:sz="0" w:space="0" w:color="auto"/>
                <w:right w:val="single" w:sz="6" w:space="0" w:color="C8D4DB"/>
              </w:divBdr>
              <w:divsChild>
                <w:div w:id="552472052">
                  <w:marLeft w:val="0"/>
                  <w:marRight w:val="0"/>
                  <w:marTop w:val="0"/>
                  <w:marBottom w:val="0"/>
                  <w:divBdr>
                    <w:top w:val="none" w:sz="0" w:space="0" w:color="auto"/>
                    <w:left w:val="none" w:sz="0" w:space="0" w:color="auto"/>
                    <w:bottom w:val="none" w:sz="0" w:space="0" w:color="auto"/>
                    <w:right w:val="none" w:sz="0" w:space="0" w:color="auto"/>
                  </w:divBdr>
                  <w:divsChild>
                    <w:div w:id="1672754234">
                      <w:marLeft w:val="0"/>
                      <w:marRight w:val="0"/>
                      <w:marTop w:val="0"/>
                      <w:marBottom w:val="0"/>
                      <w:divBdr>
                        <w:top w:val="none" w:sz="0" w:space="0" w:color="auto"/>
                        <w:left w:val="none" w:sz="0" w:space="0" w:color="auto"/>
                        <w:bottom w:val="none" w:sz="0" w:space="0" w:color="auto"/>
                        <w:right w:val="none" w:sz="0" w:space="0" w:color="auto"/>
                      </w:divBdr>
                      <w:divsChild>
                        <w:div w:id="444153870">
                          <w:marLeft w:val="0"/>
                          <w:marRight w:val="225"/>
                          <w:marTop w:val="0"/>
                          <w:marBottom w:val="0"/>
                          <w:divBdr>
                            <w:top w:val="none" w:sz="0" w:space="0" w:color="auto"/>
                            <w:left w:val="none" w:sz="0" w:space="0" w:color="auto"/>
                            <w:bottom w:val="none" w:sz="0" w:space="0" w:color="auto"/>
                            <w:right w:val="none" w:sz="0" w:space="0" w:color="auto"/>
                          </w:divBdr>
                          <w:divsChild>
                            <w:div w:id="534201533">
                              <w:marLeft w:val="0"/>
                              <w:marRight w:val="0"/>
                              <w:marTop w:val="0"/>
                              <w:marBottom w:val="0"/>
                              <w:divBdr>
                                <w:top w:val="none" w:sz="0" w:space="0" w:color="auto"/>
                                <w:left w:val="none" w:sz="0" w:space="0" w:color="auto"/>
                                <w:bottom w:val="none" w:sz="0" w:space="0" w:color="auto"/>
                                <w:right w:val="none" w:sz="0" w:space="0" w:color="auto"/>
                              </w:divBdr>
                              <w:divsChild>
                                <w:div w:id="1235818812">
                                  <w:marLeft w:val="0"/>
                                  <w:marRight w:val="0"/>
                                  <w:marTop w:val="0"/>
                                  <w:marBottom w:val="0"/>
                                  <w:divBdr>
                                    <w:top w:val="none" w:sz="0" w:space="0" w:color="auto"/>
                                    <w:left w:val="none" w:sz="0" w:space="0" w:color="auto"/>
                                    <w:bottom w:val="none" w:sz="0" w:space="0" w:color="auto"/>
                                    <w:right w:val="none" w:sz="0" w:space="0" w:color="auto"/>
                                  </w:divBdr>
                                  <w:divsChild>
                                    <w:div w:id="517155338">
                                      <w:marLeft w:val="0"/>
                                      <w:marRight w:val="0"/>
                                      <w:marTop w:val="0"/>
                                      <w:marBottom w:val="0"/>
                                      <w:divBdr>
                                        <w:top w:val="none" w:sz="0" w:space="0" w:color="auto"/>
                                        <w:left w:val="none" w:sz="0" w:space="0" w:color="auto"/>
                                        <w:bottom w:val="none" w:sz="0" w:space="0" w:color="auto"/>
                                        <w:right w:val="none" w:sz="0" w:space="0" w:color="auto"/>
                                      </w:divBdr>
                                      <w:divsChild>
                                        <w:div w:id="8750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5874">
                          <w:marLeft w:val="0"/>
                          <w:marRight w:val="0"/>
                          <w:marTop w:val="150"/>
                          <w:marBottom w:val="0"/>
                          <w:divBdr>
                            <w:top w:val="none" w:sz="0" w:space="0" w:color="auto"/>
                            <w:left w:val="none" w:sz="0" w:space="0" w:color="auto"/>
                            <w:bottom w:val="none" w:sz="0" w:space="0" w:color="auto"/>
                            <w:right w:val="none" w:sz="0" w:space="0" w:color="auto"/>
                          </w:divBdr>
                          <w:divsChild>
                            <w:div w:id="354044470">
                              <w:marLeft w:val="0"/>
                              <w:marRight w:val="0"/>
                              <w:marTop w:val="0"/>
                              <w:marBottom w:val="0"/>
                              <w:divBdr>
                                <w:top w:val="single" w:sz="2" w:space="0" w:color="BDC8D5"/>
                                <w:left w:val="single" w:sz="2" w:space="0" w:color="BDC8D5"/>
                                <w:bottom w:val="single" w:sz="2" w:space="8" w:color="BDC8D5"/>
                                <w:right w:val="single" w:sz="2" w:space="0" w:color="BDC8D5"/>
                              </w:divBdr>
                              <w:divsChild>
                                <w:div w:id="11521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PHAMNGUYENDUNG</dc:creator>
  <cp:keywords/>
  <dc:description/>
  <cp:lastModifiedBy>PHAMNGUYENDUNG</cp:lastModifiedBy>
  <cp:revision>2</cp:revision>
  <dcterms:created xsi:type="dcterms:W3CDTF">2016-08-29T03:06:00Z</dcterms:created>
  <dcterms:modified xsi:type="dcterms:W3CDTF">2016-08-29T03:12:00Z</dcterms:modified>
</cp:coreProperties>
</file>